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75C86" w:rsidR="001D7D61" w:rsidRDefault="001D7D61" w14:paraId="4AD92164" w14:textId="34257CA3">
      <w:pPr>
        <w:rPr>
          <w:b/>
          <w:sz w:val="28"/>
          <w:szCs w:val="28"/>
        </w:rPr>
      </w:pPr>
      <w:r w:rsidRPr="00A75C86">
        <w:rPr>
          <w:b/>
          <w:sz w:val="28"/>
          <w:szCs w:val="28"/>
        </w:rPr>
        <w:t>Crisis Gender Pay</w:t>
      </w:r>
      <w:r w:rsidR="00894DE2">
        <w:rPr>
          <w:b/>
          <w:sz w:val="28"/>
          <w:szCs w:val="28"/>
        </w:rPr>
        <w:t xml:space="preserve"> Gap</w:t>
      </w:r>
      <w:r w:rsidR="006E6788">
        <w:rPr>
          <w:b/>
          <w:sz w:val="28"/>
          <w:szCs w:val="28"/>
        </w:rPr>
        <w:t xml:space="preserve"> Report for April </w:t>
      </w:r>
      <w:r w:rsidR="00B755A1">
        <w:rPr>
          <w:b/>
          <w:sz w:val="28"/>
          <w:szCs w:val="28"/>
        </w:rPr>
        <w:t>2019</w:t>
      </w:r>
    </w:p>
    <w:p w:rsidRPr="00A75C86" w:rsidR="001D7D61" w:rsidRDefault="0021694D" w14:paraId="06E2DA10" w14:textId="77E3F523">
      <w:pPr>
        <w:rPr>
          <w:sz w:val="24"/>
          <w:szCs w:val="24"/>
        </w:rPr>
      </w:pPr>
      <w:r w:rsidRPr="00A75C86">
        <w:rPr>
          <w:sz w:val="24"/>
          <w:szCs w:val="24"/>
        </w:rPr>
        <w:t>As required</w:t>
      </w:r>
      <w:r w:rsidR="00C26E33">
        <w:rPr>
          <w:sz w:val="24"/>
          <w:szCs w:val="24"/>
        </w:rPr>
        <w:t xml:space="preserve"> by legislation</w:t>
      </w:r>
      <w:r w:rsidRPr="00A75C86">
        <w:rPr>
          <w:sz w:val="24"/>
          <w:szCs w:val="24"/>
        </w:rPr>
        <w:t>, Crisis reports on the gap in pay between male and female employees at Crisis</w:t>
      </w:r>
      <w:r w:rsidRPr="00823C16">
        <w:rPr>
          <w:sz w:val="24"/>
          <w:szCs w:val="24"/>
        </w:rPr>
        <w:t xml:space="preserve">.  This data is taken from </w:t>
      </w:r>
      <w:r w:rsidRPr="00823C16" w:rsidR="00894DE2">
        <w:rPr>
          <w:sz w:val="24"/>
          <w:szCs w:val="24"/>
        </w:rPr>
        <w:t xml:space="preserve">all </w:t>
      </w:r>
      <w:r w:rsidRPr="00823C16">
        <w:rPr>
          <w:sz w:val="24"/>
          <w:szCs w:val="24"/>
        </w:rPr>
        <w:t>staff on the payroll</w:t>
      </w:r>
      <w:r w:rsidRPr="00A75C86">
        <w:rPr>
          <w:sz w:val="24"/>
          <w:szCs w:val="24"/>
        </w:rPr>
        <w:t xml:space="preserve"> as at 5 April 201</w:t>
      </w:r>
      <w:r w:rsidR="00B755A1">
        <w:rPr>
          <w:sz w:val="24"/>
          <w:szCs w:val="24"/>
        </w:rPr>
        <w:t>9</w:t>
      </w:r>
      <w:r w:rsidR="00823C16">
        <w:rPr>
          <w:sz w:val="24"/>
          <w:szCs w:val="24"/>
        </w:rPr>
        <w:t>,</w:t>
      </w:r>
      <w:r w:rsidR="003475C6">
        <w:rPr>
          <w:sz w:val="24"/>
          <w:szCs w:val="24"/>
        </w:rPr>
        <w:t xml:space="preserve"> </w:t>
      </w:r>
      <w:r w:rsidRPr="00A75C86">
        <w:rPr>
          <w:sz w:val="24"/>
          <w:szCs w:val="24"/>
        </w:rPr>
        <w:t>including those on permanent, temporary, annualised hours and casual contracts.</w:t>
      </w:r>
    </w:p>
    <w:p w:rsidR="0021694D" w:rsidP="3B7B4FE3" w:rsidRDefault="3B7B4FE3" w14:paraId="47D45E65" w14:textId="3E78BDC7">
      <w:pPr>
        <w:rPr>
          <w:sz w:val="24"/>
          <w:szCs w:val="24"/>
        </w:rPr>
      </w:pPr>
      <w:r w:rsidRPr="606A4652" w:rsidR="3B7B4FE3">
        <w:rPr>
          <w:sz w:val="24"/>
          <w:szCs w:val="24"/>
        </w:rPr>
        <w:t>This data was submitted to the UK government on</w:t>
      </w:r>
      <w:r w:rsidRPr="606A4652" w:rsidR="00290B75">
        <w:rPr>
          <w:sz w:val="24"/>
          <w:szCs w:val="24"/>
        </w:rPr>
        <w:t xml:space="preserve"> </w:t>
      </w:r>
      <w:r w:rsidRPr="606A4652" w:rsidR="2C481853">
        <w:rPr>
          <w:sz w:val="24"/>
          <w:szCs w:val="24"/>
        </w:rPr>
        <w:t>25 March 2020</w:t>
      </w:r>
      <w:r w:rsidRPr="606A4652" w:rsidR="3B7B4FE3">
        <w:rPr>
          <w:sz w:val="24"/>
          <w:szCs w:val="24"/>
        </w:rPr>
        <w:t>.</w:t>
      </w:r>
    </w:p>
    <w:p w:rsidR="003475C6" w:rsidRDefault="003475C6" w14:paraId="347A7ECC" w14:textId="77777777">
      <w:pPr>
        <w:rPr>
          <w:sz w:val="24"/>
          <w:szCs w:val="24"/>
        </w:rPr>
      </w:pPr>
      <w:bookmarkStart w:name="_GoBack" w:id="0"/>
      <w:bookmarkEnd w:id="0"/>
    </w:p>
    <w:p w:rsidRPr="00823C16" w:rsidR="00894DE2" w:rsidRDefault="00894DE2" w14:paraId="270B6939" w14:textId="72169434">
      <w:pPr>
        <w:rPr>
          <w:b/>
          <w:i/>
          <w:sz w:val="24"/>
          <w:szCs w:val="24"/>
        </w:rPr>
      </w:pPr>
      <w:r w:rsidRPr="00823C16">
        <w:rPr>
          <w:b/>
          <w:i/>
          <w:sz w:val="24"/>
          <w:szCs w:val="24"/>
        </w:rPr>
        <w:t>What is the gender pay gap?</w:t>
      </w:r>
    </w:p>
    <w:p w:rsidR="006875FD" w:rsidRDefault="00894DE2" w14:paraId="2C887A65" w14:textId="696E04C6">
      <w:pPr>
        <w:rPr>
          <w:sz w:val="24"/>
          <w:szCs w:val="24"/>
        </w:rPr>
      </w:pPr>
      <w:r w:rsidRPr="00823C16">
        <w:rPr>
          <w:sz w:val="24"/>
          <w:szCs w:val="24"/>
        </w:rPr>
        <w:t>The gender pay gap is the measure that shows the difference in average pay between men and women expressed as a percentage of men’s pay. This is different to equal pay</w:t>
      </w:r>
      <w:r w:rsidRPr="00823C16" w:rsidR="002E2A0B">
        <w:rPr>
          <w:sz w:val="24"/>
          <w:szCs w:val="24"/>
        </w:rPr>
        <w:t xml:space="preserve"> i.e. women and men receiving the same pay for the same or </w:t>
      </w:r>
      <w:r w:rsidRPr="00823C16" w:rsidR="00440866">
        <w:rPr>
          <w:sz w:val="24"/>
          <w:szCs w:val="24"/>
        </w:rPr>
        <w:t>comparable role</w:t>
      </w:r>
      <w:r w:rsidRPr="00823C16" w:rsidR="002E2A0B">
        <w:rPr>
          <w:sz w:val="24"/>
          <w:szCs w:val="24"/>
        </w:rPr>
        <w:t>.</w:t>
      </w:r>
      <w:r w:rsidRPr="00823C16" w:rsidR="00440866">
        <w:rPr>
          <w:sz w:val="24"/>
          <w:szCs w:val="24"/>
        </w:rPr>
        <w:t xml:space="preserve"> At Crisis, salaries are determined by evaluating the role and benchmarking against comparable roles in the sector and elsewhere in the organisation and we are th</w:t>
      </w:r>
      <w:r w:rsidR="003475C6">
        <w:rPr>
          <w:sz w:val="24"/>
          <w:szCs w:val="24"/>
        </w:rPr>
        <w:t xml:space="preserve">erefore </w:t>
      </w:r>
      <w:r w:rsidRPr="00823C16" w:rsidR="00440866">
        <w:rPr>
          <w:sz w:val="24"/>
          <w:szCs w:val="24"/>
        </w:rPr>
        <w:t>confident that we do not have equal pay issues.</w:t>
      </w:r>
    </w:p>
    <w:p w:rsidR="003475C6" w:rsidRDefault="006875FD" w14:paraId="47423A22" w14:textId="2EE04F61">
      <w:pPr>
        <w:rPr>
          <w:sz w:val="24"/>
          <w:szCs w:val="24"/>
        </w:rPr>
      </w:pPr>
      <w:r>
        <w:rPr>
          <w:sz w:val="24"/>
          <w:szCs w:val="24"/>
        </w:rPr>
        <w:t>Gender balance of staff at April 201</w:t>
      </w:r>
      <w:r w:rsidR="002D31BC">
        <w:rPr>
          <w:sz w:val="24"/>
          <w:szCs w:val="24"/>
        </w:rPr>
        <w:t>8</w:t>
      </w:r>
      <w:r w:rsidR="00823C16">
        <w:rPr>
          <w:sz w:val="24"/>
          <w:szCs w:val="24"/>
        </w:rPr>
        <w:t>:</w:t>
      </w:r>
    </w:p>
    <w:p w:rsidR="003475C6" w:rsidRDefault="002D31BC" w14:paraId="0EF5FEFF" w14:textId="38A681A9">
      <w:pPr>
        <w:rPr>
          <w:sz w:val="24"/>
          <w:szCs w:val="24"/>
        </w:rPr>
      </w:pPr>
      <w:r>
        <w:rPr>
          <w:sz w:val="24"/>
          <w:szCs w:val="24"/>
        </w:rPr>
        <w:t>Female</w:t>
      </w:r>
      <w:r>
        <w:rPr>
          <w:sz w:val="24"/>
          <w:szCs w:val="24"/>
        </w:rPr>
        <w:tab/>
      </w:r>
      <w:r>
        <w:rPr>
          <w:sz w:val="24"/>
          <w:szCs w:val="24"/>
        </w:rPr>
        <w:tab/>
      </w:r>
      <w:r>
        <w:rPr>
          <w:sz w:val="24"/>
          <w:szCs w:val="24"/>
        </w:rPr>
        <w:t>6</w:t>
      </w:r>
      <w:r w:rsidR="005046E5">
        <w:rPr>
          <w:sz w:val="24"/>
          <w:szCs w:val="24"/>
        </w:rPr>
        <w:t>5</w:t>
      </w:r>
      <w:r w:rsidR="003475C6">
        <w:rPr>
          <w:sz w:val="24"/>
          <w:szCs w:val="24"/>
        </w:rPr>
        <w:t>%</w:t>
      </w:r>
    </w:p>
    <w:p w:rsidR="006875FD" w:rsidRDefault="002D31BC" w14:paraId="5473DEA0" w14:textId="785997A9">
      <w:pPr>
        <w:rPr>
          <w:sz w:val="24"/>
          <w:szCs w:val="24"/>
        </w:rPr>
      </w:pPr>
      <w:r>
        <w:rPr>
          <w:sz w:val="24"/>
          <w:szCs w:val="24"/>
        </w:rPr>
        <w:t>Male</w:t>
      </w:r>
      <w:r>
        <w:rPr>
          <w:sz w:val="24"/>
          <w:szCs w:val="24"/>
        </w:rPr>
        <w:tab/>
      </w:r>
      <w:r>
        <w:rPr>
          <w:sz w:val="24"/>
          <w:szCs w:val="24"/>
        </w:rPr>
        <w:tab/>
      </w:r>
      <w:r>
        <w:rPr>
          <w:sz w:val="24"/>
          <w:szCs w:val="24"/>
        </w:rPr>
        <w:t>3</w:t>
      </w:r>
      <w:r w:rsidR="00447C88">
        <w:rPr>
          <w:sz w:val="24"/>
          <w:szCs w:val="24"/>
        </w:rPr>
        <w:t>5</w:t>
      </w:r>
      <w:r w:rsidR="003475C6">
        <w:rPr>
          <w:sz w:val="24"/>
          <w:szCs w:val="24"/>
        </w:rPr>
        <w:t>%</w:t>
      </w:r>
    </w:p>
    <w:p w:rsidR="003475C6" w:rsidRDefault="003475C6" w14:paraId="0FC73791" w14:textId="77777777">
      <w:pPr>
        <w:rPr>
          <w:sz w:val="24"/>
          <w:szCs w:val="24"/>
        </w:rPr>
      </w:pPr>
    </w:p>
    <w:p w:rsidR="0021694D" w:rsidRDefault="0021694D" w14:paraId="39362694" w14:textId="09D02E77">
      <w:pPr>
        <w:rPr>
          <w:b/>
          <w:i/>
          <w:sz w:val="24"/>
          <w:szCs w:val="24"/>
        </w:rPr>
      </w:pPr>
      <w:r w:rsidRPr="00A75C86">
        <w:rPr>
          <w:b/>
          <w:i/>
          <w:sz w:val="24"/>
          <w:szCs w:val="24"/>
        </w:rPr>
        <w:t>Overview</w:t>
      </w:r>
    </w:p>
    <w:p w:rsidRPr="00823C16" w:rsidR="00860EEA" w:rsidRDefault="00860EEA" w14:paraId="12933BDD" w14:textId="1862C54B">
      <w:pPr>
        <w:rPr>
          <w:sz w:val="24"/>
          <w:szCs w:val="24"/>
        </w:rPr>
      </w:pPr>
      <w:r w:rsidRPr="00823C16">
        <w:rPr>
          <w:sz w:val="24"/>
          <w:szCs w:val="24"/>
        </w:rPr>
        <w:t>The gender pay gap is expressed in two ways</w:t>
      </w:r>
      <w:r w:rsidR="00823C16">
        <w:rPr>
          <w:sz w:val="24"/>
          <w:szCs w:val="24"/>
        </w:rPr>
        <w:t>:</w:t>
      </w:r>
    </w:p>
    <w:p w:rsidR="00860EEA" w:rsidP="00860EEA" w:rsidRDefault="001D7D61" w14:paraId="214E71DA" w14:textId="67718EFD">
      <w:pPr>
        <w:pStyle w:val="ListParagraph"/>
        <w:numPr>
          <w:ilvl w:val="0"/>
          <w:numId w:val="2"/>
        </w:numPr>
        <w:rPr>
          <w:sz w:val="24"/>
          <w:szCs w:val="24"/>
        </w:rPr>
      </w:pPr>
      <w:r w:rsidRPr="00A75C86">
        <w:rPr>
          <w:sz w:val="24"/>
          <w:szCs w:val="24"/>
        </w:rPr>
        <w:t>Difference in mean hourly rate of pay</w:t>
      </w:r>
      <w:r w:rsidRPr="00A75C86">
        <w:rPr>
          <w:sz w:val="24"/>
          <w:szCs w:val="24"/>
        </w:rPr>
        <w:tab/>
      </w:r>
      <w:r w:rsidRPr="00A75C86">
        <w:rPr>
          <w:sz w:val="24"/>
          <w:szCs w:val="24"/>
        </w:rPr>
        <w:tab/>
      </w:r>
      <w:r w:rsidRPr="00A75C86">
        <w:rPr>
          <w:sz w:val="24"/>
          <w:szCs w:val="24"/>
        </w:rPr>
        <w:tab/>
      </w:r>
      <w:r w:rsidR="002D31BC">
        <w:rPr>
          <w:sz w:val="24"/>
          <w:szCs w:val="24"/>
        </w:rPr>
        <w:t>1</w:t>
      </w:r>
      <w:r w:rsidRPr="00A75C86">
        <w:rPr>
          <w:sz w:val="24"/>
          <w:szCs w:val="24"/>
        </w:rPr>
        <w:t>%</w:t>
      </w:r>
      <w:r w:rsidR="00FE71B1">
        <w:rPr>
          <w:sz w:val="24"/>
          <w:szCs w:val="24"/>
        </w:rPr>
        <w:t xml:space="preserve"> </w:t>
      </w:r>
    </w:p>
    <w:p w:rsidR="00860EEA" w:rsidP="00823C16" w:rsidRDefault="00860EEA" w14:paraId="0CE2A329" w14:textId="0B6D0776">
      <w:pPr>
        <w:ind w:left="360"/>
        <w:rPr>
          <w:sz w:val="24"/>
          <w:szCs w:val="24"/>
        </w:rPr>
      </w:pPr>
      <w:r w:rsidRPr="00823C16">
        <w:rPr>
          <w:sz w:val="24"/>
          <w:szCs w:val="24"/>
        </w:rPr>
        <w:t>Mean pay is the average hourly rate and the mean pay gap is the dif</w:t>
      </w:r>
      <w:r w:rsidRPr="00860EEA">
        <w:rPr>
          <w:sz w:val="24"/>
          <w:szCs w:val="24"/>
        </w:rPr>
        <w:t xml:space="preserve">ference in average hourly rate </w:t>
      </w:r>
      <w:r>
        <w:rPr>
          <w:sz w:val="24"/>
          <w:szCs w:val="24"/>
        </w:rPr>
        <w:t>o</w:t>
      </w:r>
      <w:r w:rsidRPr="00823C16">
        <w:rPr>
          <w:sz w:val="24"/>
          <w:szCs w:val="24"/>
        </w:rPr>
        <w:t>f pay by ge</w:t>
      </w:r>
      <w:r w:rsidR="000118E9">
        <w:rPr>
          <w:sz w:val="24"/>
          <w:szCs w:val="24"/>
        </w:rPr>
        <w:t>nder. Male employees were paid 1</w:t>
      </w:r>
      <w:r w:rsidRPr="00860EEA">
        <w:rPr>
          <w:sz w:val="24"/>
          <w:szCs w:val="24"/>
        </w:rPr>
        <w:t>%</w:t>
      </w:r>
      <w:r w:rsidR="000118E9">
        <w:rPr>
          <w:sz w:val="24"/>
          <w:szCs w:val="24"/>
        </w:rPr>
        <w:t xml:space="preserve"> </w:t>
      </w:r>
      <w:r w:rsidRPr="00823C16">
        <w:rPr>
          <w:sz w:val="24"/>
          <w:szCs w:val="24"/>
        </w:rPr>
        <w:t>more than female employees when an average hourly rate of pay is calculated.</w:t>
      </w:r>
      <w:r w:rsidR="006A111F">
        <w:rPr>
          <w:sz w:val="24"/>
          <w:szCs w:val="24"/>
        </w:rPr>
        <w:t xml:space="preserve"> This </w:t>
      </w:r>
      <w:r w:rsidR="00EF1D37">
        <w:rPr>
          <w:sz w:val="24"/>
          <w:szCs w:val="24"/>
        </w:rPr>
        <w:t>is the same percentage as April 201</w:t>
      </w:r>
      <w:r w:rsidR="00CE099F">
        <w:rPr>
          <w:sz w:val="24"/>
          <w:szCs w:val="24"/>
        </w:rPr>
        <w:t>8</w:t>
      </w:r>
      <w:r w:rsidR="006A111F">
        <w:rPr>
          <w:sz w:val="24"/>
          <w:szCs w:val="24"/>
        </w:rPr>
        <w:t>.</w:t>
      </w:r>
      <w:r w:rsidR="00935046">
        <w:rPr>
          <w:sz w:val="24"/>
          <w:szCs w:val="24"/>
        </w:rPr>
        <w:t xml:space="preserve"> </w:t>
      </w:r>
      <w:r w:rsidR="00FE71B1">
        <w:rPr>
          <w:sz w:val="24"/>
          <w:szCs w:val="24"/>
        </w:rPr>
        <w:t xml:space="preserve"> </w:t>
      </w:r>
      <w:r w:rsidR="00935046">
        <w:rPr>
          <w:sz w:val="24"/>
          <w:szCs w:val="24"/>
        </w:rPr>
        <w:t xml:space="preserve">In comparison, the average gap in the UK is </w:t>
      </w:r>
      <w:r w:rsidR="003D1794">
        <w:rPr>
          <w:sz w:val="24"/>
          <w:szCs w:val="24"/>
        </w:rPr>
        <w:t>9</w:t>
      </w:r>
      <w:r w:rsidR="00935046">
        <w:rPr>
          <w:sz w:val="24"/>
          <w:szCs w:val="24"/>
        </w:rPr>
        <w:t xml:space="preserve">% based on </w:t>
      </w:r>
      <w:r w:rsidR="00823C16">
        <w:rPr>
          <w:sz w:val="24"/>
          <w:szCs w:val="24"/>
        </w:rPr>
        <w:t xml:space="preserve">data published by the </w:t>
      </w:r>
      <w:hyperlink w:history="1" r:id="rId11">
        <w:r w:rsidRPr="000118E9" w:rsidR="00935046">
          <w:rPr>
            <w:rStyle w:val="Hyperlink"/>
            <w:sz w:val="24"/>
            <w:szCs w:val="24"/>
          </w:rPr>
          <w:t xml:space="preserve">Office of National Statistics </w:t>
        </w:r>
        <w:r w:rsidRPr="000118E9" w:rsidR="00823C16">
          <w:rPr>
            <w:rStyle w:val="Hyperlink"/>
            <w:sz w:val="24"/>
            <w:szCs w:val="24"/>
          </w:rPr>
          <w:t>in</w:t>
        </w:r>
        <w:r w:rsidRPr="000118E9" w:rsidR="00F3118F">
          <w:rPr>
            <w:rStyle w:val="Hyperlink"/>
            <w:sz w:val="24"/>
            <w:szCs w:val="24"/>
          </w:rPr>
          <w:t xml:space="preserve"> 201</w:t>
        </w:r>
        <w:r w:rsidRPr="000118E9" w:rsidR="000118E9">
          <w:rPr>
            <w:rStyle w:val="Hyperlink"/>
            <w:sz w:val="24"/>
            <w:szCs w:val="24"/>
          </w:rPr>
          <w:t>8</w:t>
        </w:r>
      </w:hyperlink>
      <w:r w:rsidR="00F3118F">
        <w:rPr>
          <w:sz w:val="24"/>
          <w:szCs w:val="24"/>
        </w:rPr>
        <w:t>.</w:t>
      </w:r>
    </w:p>
    <w:p w:rsidRPr="005E3ACB" w:rsidR="005E3ACB" w:rsidP="005E3ACB" w:rsidRDefault="005E3ACB" w14:paraId="5A71D997" w14:textId="6A856D92">
      <w:pPr>
        <w:ind w:left="360"/>
        <w:jc w:val="right"/>
        <w:rPr>
          <w:i/>
          <w:sz w:val="24"/>
          <w:szCs w:val="24"/>
        </w:rPr>
      </w:pPr>
      <w:proofErr w:type="spellStart"/>
      <w:r w:rsidRPr="005E3ACB">
        <w:rPr>
          <w:i/>
          <w:sz w:val="24"/>
          <w:szCs w:val="24"/>
        </w:rPr>
        <w:t>Cont</w:t>
      </w:r>
      <w:proofErr w:type="spellEnd"/>
      <w:r w:rsidRPr="005E3ACB">
        <w:rPr>
          <w:i/>
          <w:sz w:val="24"/>
          <w:szCs w:val="24"/>
        </w:rPr>
        <w:t>…</w:t>
      </w:r>
    </w:p>
    <w:p w:rsidR="00F849FD" w:rsidP="00F849FD" w:rsidRDefault="001D7D61" w14:paraId="672667C0" w14:textId="731C1A15">
      <w:pPr>
        <w:pStyle w:val="ListParagraph"/>
        <w:numPr>
          <w:ilvl w:val="0"/>
          <w:numId w:val="2"/>
        </w:numPr>
        <w:rPr>
          <w:sz w:val="24"/>
          <w:szCs w:val="24"/>
        </w:rPr>
      </w:pPr>
      <w:r w:rsidRPr="00A75C86">
        <w:rPr>
          <w:sz w:val="24"/>
          <w:szCs w:val="24"/>
        </w:rPr>
        <w:lastRenderedPageBreak/>
        <w:t xml:space="preserve">Difference </w:t>
      </w:r>
      <w:r w:rsidR="000118E9">
        <w:rPr>
          <w:sz w:val="24"/>
          <w:szCs w:val="24"/>
        </w:rPr>
        <w:t>in median hourly rate of pay</w:t>
      </w:r>
      <w:r w:rsidR="000118E9">
        <w:rPr>
          <w:sz w:val="24"/>
          <w:szCs w:val="24"/>
        </w:rPr>
        <w:tab/>
      </w:r>
      <w:r w:rsidR="000118E9">
        <w:rPr>
          <w:sz w:val="24"/>
          <w:szCs w:val="24"/>
        </w:rPr>
        <w:tab/>
      </w:r>
      <w:r w:rsidR="000118E9">
        <w:rPr>
          <w:sz w:val="24"/>
          <w:szCs w:val="24"/>
        </w:rPr>
        <w:tab/>
      </w:r>
      <w:r w:rsidR="008004E9">
        <w:rPr>
          <w:sz w:val="24"/>
          <w:szCs w:val="24"/>
        </w:rPr>
        <w:t>-</w:t>
      </w:r>
      <w:r w:rsidR="003D1794">
        <w:rPr>
          <w:sz w:val="24"/>
          <w:szCs w:val="24"/>
        </w:rPr>
        <w:t>11</w:t>
      </w:r>
      <w:r w:rsidRPr="00A75C86">
        <w:rPr>
          <w:sz w:val="24"/>
          <w:szCs w:val="24"/>
        </w:rPr>
        <w:t>%</w:t>
      </w:r>
    </w:p>
    <w:p w:rsidRPr="00823C16" w:rsidR="00860EEA" w:rsidP="00823C16" w:rsidRDefault="00860EEA" w14:paraId="79A91D3B" w14:textId="7225AE94">
      <w:pPr>
        <w:ind w:left="360"/>
        <w:rPr>
          <w:sz w:val="24"/>
          <w:szCs w:val="24"/>
        </w:rPr>
      </w:pPr>
      <w:r w:rsidRPr="00823C16">
        <w:rPr>
          <w:sz w:val="24"/>
          <w:szCs w:val="24"/>
        </w:rPr>
        <w:t xml:space="preserve">Median pay is the midpoint value when all hourly rates are listed from highest to lowest value. The median pay gap is the difference in the middle hourly rate of pay by gender. </w:t>
      </w:r>
      <w:r w:rsidRPr="00823C16" w:rsidR="001059EA">
        <w:rPr>
          <w:sz w:val="24"/>
          <w:szCs w:val="24"/>
        </w:rPr>
        <w:t xml:space="preserve">There was </w:t>
      </w:r>
      <w:r w:rsidR="000118E9">
        <w:rPr>
          <w:sz w:val="24"/>
          <w:szCs w:val="24"/>
        </w:rPr>
        <w:t xml:space="preserve">a </w:t>
      </w:r>
      <w:r w:rsidR="003D1794">
        <w:rPr>
          <w:sz w:val="24"/>
          <w:szCs w:val="24"/>
        </w:rPr>
        <w:t>-11</w:t>
      </w:r>
      <w:r w:rsidR="000118E9">
        <w:rPr>
          <w:sz w:val="24"/>
          <w:szCs w:val="24"/>
        </w:rPr>
        <w:t>%</w:t>
      </w:r>
      <w:r w:rsidRPr="00823C16" w:rsidR="001059EA">
        <w:rPr>
          <w:sz w:val="24"/>
          <w:szCs w:val="24"/>
        </w:rPr>
        <w:t xml:space="preserve"> difference in the median </w:t>
      </w:r>
      <w:r w:rsidR="00AD2FB3">
        <w:rPr>
          <w:sz w:val="24"/>
          <w:szCs w:val="24"/>
        </w:rPr>
        <w:t xml:space="preserve">hourly </w:t>
      </w:r>
      <w:r w:rsidRPr="00823C16" w:rsidR="001059EA">
        <w:rPr>
          <w:sz w:val="24"/>
          <w:szCs w:val="24"/>
        </w:rPr>
        <w:t xml:space="preserve">pay </w:t>
      </w:r>
      <w:r w:rsidR="006A111F">
        <w:rPr>
          <w:sz w:val="24"/>
          <w:szCs w:val="24"/>
        </w:rPr>
        <w:t>(with</w:t>
      </w:r>
      <w:r w:rsidR="00AD2FB3">
        <w:rPr>
          <w:sz w:val="24"/>
          <w:szCs w:val="24"/>
        </w:rPr>
        <w:t xml:space="preserve"> the median</w:t>
      </w:r>
      <w:r w:rsidR="006A111F">
        <w:rPr>
          <w:sz w:val="24"/>
          <w:szCs w:val="24"/>
        </w:rPr>
        <w:t xml:space="preserve"> female employees</w:t>
      </w:r>
      <w:r w:rsidR="00AD2FB3">
        <w:rPr>
          <w:sz w:val="24"/>
          <w:szCs w:val="24"/>
        </w:rPr>
        <w:t>’</w:t>
      </w:r>
      <w:r w:rsidR="006A111F">
        <w:rPr>
          <w:sz w:val="24"/>
          <w:szCs w:val="24"/>
        </w:rPr>
        <w:t xml:space="preserve"> </w:t>
      </w:r>
      <w:r w:rsidR="00AD2FB3">
        <w:rPr>
          <w:sz w:val="24"/>
          <w:szCs w:val="24"/>
        </w:rPr>
        <w:t>pay</w:t>
      </w:r>
      <w:r w:rsidR="00CF1DAE">
        <w:rPr>
          <w:sz w:val="24"/>
          <w:szCs w:val="24"/>
        </w:rPr>
        <w:t xml:space="preserve"> </w:t>
      </w:r>
      <w:r w:rsidR="003D1794">
        <w:rPr>
          <w:sz w:val="24"/>
          <w:szCs w:val="24"/>
        </w:rPr>
        <w:t>11</w:t>
      </w:r>
      <w:r w:rsidR="006A111F">
        <w:rPr>
          <w:sz w:val="24"/>
          <w:szCs w:val="24"/>
        </w:rPr>
        <w:t xml:space="preserve">% </w:t>
      </w:r>
      <w:r w:rsidR="00CF1DAE">
        <w:rPr>
          <w:sz w:val="24"/>
          <w:szCs w:val="24"/>
        </w:rPr>
        <w:t>higher</w:t>
      </w:r>
      <w:r w:rsidR="00AD2FB3">
        <w:rPr>
          <w:sz w:val="24"/>
          <w:szCs w:val="24"/>
        </w:rPr>
        <w:t xml:space="preserve"> than median male hourly pay</w:t>
      </w:r>
      <w:r w:rsidR="006A111F">
        <w:rPr>
          <w:sz w:val="24"/>
          <w:szCs w:val="24"/>
        </w:rPr>
        <w:t>)</w:t>
      </w:r>
      <w:r w:rsidRPr="00823C16" w:rsidR="001059EA">
        <w:rPr>
          <w:sz w:val="24"/>
          <w:szCs w:val="24"/>
        </w:rPr>
        <w:t>.</w:t>
      </w:r>
      <w:r w:rsidR="000118E9">
        <w:rPr>
          <w:sz w:val="24"/>
          <w:szCs w:val="24"/>
        </w:rPr>
        <w:t xml:space="preserve"> </w:t>
      </w:r>
      <w:r w:rsidR="00FE71B1">
        <w:rPr>
          <w:sz w:val="24"/>
          <w:szCs w:val="24"/>
        </w:rPr>
        <w:t xml:space="preserve">In April 2018 the difference was </w:t>
      </w:r>
      <w:r w:rsidR="003D1794">
        <w:rPr>
          <w:sz w:val="24"/>
          <w:szCs w:val="24"/>
        </w:rPr>
        <w:t>-6</w:t>
      </w:r>
      <w:r w:rsidR="000118E9">
        <w:rPr>
          <w:sz w:val="24"/>
          <w:szCs w:val="24"/>
        </w:rPr>
        <w:t>%</w:t>
      </w:r>
      <w:r w:rsidR="00FE71B1">
        <w:rPr>
          <w:sz w:val="24"/>
          <w:szCs w:val="24"/>
        </w:rPr>
        <w:t>.</w:t>
      </w:r>
      <w:r w:rsidR="003D1794">
        <w:rPr>
          <w:sz w:val="24"/>
          <w:szCs w:val="24"/>
        </w:rPr>
        <w:t xml:space="preserve"> </w:t>
      </w:r>
    </w:p>
    <w:p w:rsidRPr="00A75C86" w:rsidR="00F849FD" w:rsidP="00F849FD" w:rsidRDefault="00F849FD" w14:paraId="47671348" w14:textId="77777777">
      <w:pPr>
        <w:rPr>
          <w:i/>
          <w:sz w:val="24"/>
          <w:szCs w:val="24"/>
        </w:rPr>
      </w:pPr>
      <w:r w:rsidRPr="00A75C86">
        <w:rPr>
          <w:i/>
          <w:sz w:val="24"/>
          <w:szCs w:val="24"/>
        </w:rPr>
        <w:t>Commentary</w:t>
      </w:r>
    </w:p>
    <w:p w:rsidRPr="00A75C86" w:rsidR="00A75C86" w:rsidP="00F849FD" w:rsidRDefault="000118E9" w14:paraId="585B8586" w14:textId="3A3055C4">
      <w:pPr>
        <w:pStyle w:val="ListParagraph"/>
        <w:numPr>
          <w:ilvl w:val="0"/>
          <w:numId w:val="2"/>
        </w:numPr>
        <w:rPr>
          <w:sz w:val="24"/>
          <w:szCs w:val="24"/>
        </w:rPr>
      </w:pPr>
      <w:r>
        <w:rPr>
          <w:sz w:val="24"/>
          <w:szCs w:val="24"/>
        </w:rPr>
        <w:t>6</w:t>
      </w:r>
      <w:r w:rsidR="00B1616F">
        <w:rPr>
          <w:sz w:val="24"/>
          <w:szCs w:val="24"/>
        </w:rPr>
        <w:t>59</w:t>
      </w:r>
      <w:r w:rsidRPr="00A75C86" w:rsidR="00F849FD">
        <w:rPr>
          <w:sz w:val="24"/>
          <w:szCs w:val="24"/>
        </w:rPr>
        <w:t xml:space="preserve"> staff on the payroll at the point the data was collected</w:t>
      </w:r>
    </w:p>
    <w:p w:rsidR="0021694D" w:rsidP="00F849FD" w:rsidRDefault="00A75C86" w14:paraId="4A1E53C0" w14:textId="5F59A6AF">
      <w:pPr>
        <w:pStyle w:val="ListParagraph"/>
        <w:numPr>
          <w:ilvl w:val="0"/>
          <w:numId w:val="2"/>
        </w:numPr>
        <w:rPr>
          <w:sz w:val="24"/>
          <w:szCs w:val="24"/>
        </w:rPr>
      </w:pPr>
      <w:r w:rsidRPr="00A75C86">
        <w:rPr>
          <w:sz w:val="24"/>
          <w:szCs w:val="24"/>
        </w:rPr>
        <w:t>Crisis employs more women</w:t>
      </w:r>
      <w:r w:rsidR="000118E9">
        <w:rPr>
          <w:sz w:val="24"/>
          <w:szCs w:val="24"/>
        </w:rPr>
        <w:t xml:space="preserve"> (6</w:t>
      </w:r>
      <w:r w:rsidR="00B1616F">
        <w:rPr>
          <w:sz w:val="24"/>
          <w:szCs w:val="24"/>
        </w:rPr>
        <w:t>5</w:t>
      </w:r>
      <w:r w:rsidR="00EB25F0">
        <w:rPr>
          <w:sz w:val="24"/>
          <w:szCs w:val="24"/>
        </w:rPr>
        <w:t>%</w:t>
      </w:r>
      <w:r w:rsidR="00823C16">
        <w:rPr>
          <w:sz w:val="24"/>
          <w:szCs w:val="24"/>
        </w:rPr>
        <w:t>)</w:t>
      </w:r>
      <w:r w:rsidR="00EB25F0">
        <w:rPr>
          <w:sz w:val="24"/>
          <w:szCs w:val="24"/>
        </w:rPr>
        <w:t xml:space="preserve"> </w:t>
      </w:r>
      <w:r w:rsidRPr="00A75C86">
        <w:rPr>
          <w:sz w:val="24"/>
          <w:szCs w:val="24"/>
        </w:rPr>
        <w:t>than men</w:t>
      </w:r>
      <w:r w:rsidR="000118E9">
        <w:rPr>
          <w:sz w:val="24"/>
          <w:szCs w:val="24"/>
        </w:rPr>
        <w:t xml:space="preserve"> (3</w:t>
      </w:r>
      <w:r w:rsidR="00B1616F">
        <w:rPr>
          <w:sz w:val="24"/>
          <w:szCs w:val="24"/>
        </w:rPr>
        <w:t>5</w:t>
      </w:r>
      <w:r w:rsidR="00EB25F0">
        <w:rPr>
          <w:sz w:val="24"/>
          <w:szCs w:val="24"/>
        </w:rPr>
        <w:t>%)</w:t>
      </w:r>
      <w:r w:rsidR="00D322F9">
        <w:rPr>
          <w:sz w:val="24"/>
          <w:szCs w:val="24"/>
        </w:rPr>
        <w:t xml:space="preserve"> but there are more men in senior roles in the </w:t>
      </w:r>
      <w:r w:rsidR="00B1616F">
        <w:rPr>
          <w:sz w:val="24"/>
          <w:szCs w:val="24"/>
        </w:rPr>
        <w:t>Senior Management Team</w:t>
      </w:r>
      <w:r w:rsidR="00D322F9">
        <w:rPr>
          <w:sz w:val="24"/>
          <w:szCs w:val="24"/>
        </w:rPr>
        <w:t xml:space="preserve"> and Corporate Services directorate</w:t>
      </w:r>
    </w:p>
    <w:p w:rsidRPr="000F137D" w:rsidR="000F137D" w:rsidP="000F137D" w:rsidRDefault="00B1616F" w14:paraId="6CAAACF6" w14:textId="66BA6163">
      <w:pPr>
        <w:pStyle w:val="ListParagraph"/>
        <w:numPr>
          <w:ilvl w:val="0"/>
          <w:numId w:val="2"/>
        </w:numPr>
        <w:rPr>
          <w:sz w:val="24"/>
          <w:szCs w:val="24"/>
        </w:rPr>
      </w:pPr>
      <w:r>
        <w:rPr>
          <w:sz w:val="24"/>
          <w:szCs w:val="24"/>
        </w:rPr>
        <w:t>The increase in median hourly pay (</w:t>
      </w:r>
      <w:r w:rsidR="00D47672">
        <w:rPr>
          <w:sz w:val="24"/>
          <w:szCs w:val="24"/>
        </w:rPr>
        <w:t>women</w:t>
      </w:r>
      <w:r w:rsidR="009461C7">
        <w:rPr>
          <w:sz w:val="24"/>
          <w:szCs w:val="24"/>
        </w:rPr>
        <w:t xml:space="preserve"> paid </w:t>
      </w:r>
      <w:r w:rsidR="009B2F09">
        <w:rPr>
          <w:sz w:val="24"/>
          <w:szCs w:val="24"/>
        </w:rPr>
        <w:t>a higher hourly rate</w:t>
      </w:r>
      <w:r w:rsidR="009461C7">
        <w:rPr>
          <w:sz w:val="24"/>
          <w:szCs w:val="24"/>
        </w:rPr>
        <w:t xml:space="preserve">) </w:t>
      </w:r>
      <w:r>
        <w:rPr>
          <w:sz w:val="24"/>
          <w:szCs w:val="24"/>
        </w:rPr>
        <w:t xml:space="preserve">is due to a significant increase in the number of </w:t>
      </w:r>
      <w:r w:rsidR="00D47672">
        <w:rPr>
          <w:sz w:val="24"/>
          <w:szCs w:val="24"/>
        </w:rPr>
        <w:t xml:space="preserve">women </w:t>
      </w:r>
      <w:r>
        <w:rPr>
          <w:sz w:val="24"/>
          <w:szCs w:val="24"/>
        </w:rPr>
        <w:t xml:space="preserve">who are in the </w:t>
      </w:r>
      <w:r w:rsidR="00D47672">
        <w:rPr>
          <w:sz w:val="24"/>
          <w:szCs w:val="24"/>
        </w:rPr>
        <w:t>u</w:t>
      </w:r>
      <w:r>
        <w:rPr>
          <w:sz w:val="24"/>
          <w:szCs w:val="24"/>
        </w:rPr>
        <w:t xml:space="preserve">pper </w:t>
      </w:r>
      <w:r w:rsidR="00D47672">
        <w:rPr>
          <w:sz w:val="24"/>
          <w:szCs w:val="24"/>
        </w:rPr>
        <w:t>m</w:t>
      </w:r>
      <w:r>
        <w:rPr>
          <w:sz w:val="24"/>
          <w:szCs w:val="24"/>
        </w:rPr>
        <w:t xml:space="preserve">iddle quartile (+6% compared with last year). </w:t>
      </w:r>
      <w:r w:rsidR="00AF58E9">
        <w:rPr>
          <w:sz w:val="24"/>
          <w:szCs w:val="24"/>
        </w:rPr>
        <w:t xml:space="preserve">The number of men hired into roles in the </w:t>
      </w:r>
      <w:r w:rsidR="00D47672">
        <w:rPr>
          <w:sz w:val="24"/>
          <w:szCs w:val="24"/>
        </w:rPr>
        <w:t>l</w:t>
      </w:r>
      <w:r w:rsidR="00AF58E9">
        <w:rPr>
          <w:sz w:val="24"/>
          <w:szCs w:val="24"/>
        </w:rPr>
        <w:t xml:space="preserve">ower </w:t>
      </w:r>
      <w:r w:rsidR="00D47672">
        <w:rPr>
          <w:sz w:val="24"/>
          <w:szCs w:val="24"/>
        </w:rPr>
        <w:t>m</w:t>
      </w:r>
      <w:r w:rsidR="00AF58E9">
        <w:rPr>
          <w:sz w:val="24"/>
          <w:szCs w:val="24"/>
        </w:rPr>
        <w:t xml:space="preserve">iddle or </w:t>
      </w:r>
      <w:r w:rsidR="00D47672">
        <w:rPr>
          <w:sz w:val="24"/>
          <w:szCs w:val="24"/>
        </w:rPr>
        <w:t>l</w:t>
      </w:r>
      <w:r w:rsidR="00AF58E9">
        <w:rPr>
          <w:sz w:val="24"/>
          <w:szCs w:val="24"/>
        </w:rPr>
        <w:t xml:space="preserve">ower </w:t>
      </w:r>
      <w:r w:rsidR="00D47672">
        <w:rPr>
          <w:sz w:val="24"/>
          <w:szCs w:val="24"/>
        </w:rPr>
        <w:t>q</w:t>
      </w:r>
      <w:r w:rsidR="00AF58E9">
        <w:rPr>
          <w:sz w:val="24"/>
          <w:szCs w:val="24"/>
        </w:rPr>
        <w:t xml:space="preserve">uartile has increased, by 1% and 3% respectively </w:t>
      </w:r>
    </w:p>
    <w:p w:rsidRPr="008A3B98" w:rsidR="00A76CF9" w:rsidP="008A3B98" w:rsidRDefault="00ED56CC" w14:paraId="087FC013" w14:textId="55FB3770">
      <w:pPr>
        <w:pStyle w:val="ListParagraph"/>
        <w:numPr>
          <w:ilvl w:val="0"/>
          <w:numId w:val="2"/>
        </w:numPr>
        <w:rPr>
          <w:sz w:val="24"/>
          <w:szCs w:val="24"/>
        </w:rPr>
      </w:pPr>
      <w:r>
        <w:rPr>
          <w:sz w:val="24"/>
          <w:szCs w:val="24"/>
        </w:rPr>
        <w:t>Crisis s</w:t>
      </w:r>
      <w:r w:rsidR="00A76CF9">
        <w:rPr>
          <w:sz w:val="24"/>
          <w:szCs w:val="24"/>
        </w:rPr>
        <w:t xml:space="preserve">alaries are determined by evaluating the role and </w:t>
      </w:r>
      <w:r w:rsidRPr="00A76CF9" w:rsidR="00A76CF9">
        <w:rPr>
          <w:sz w:val="24"/>
          <w:szCs w:val="24"/>
        </w:rPr>
        <w:t xml:space="preserve">benchmarking against comparable roles in the </w:t>
      </w:r>
      <w:r w:rsidR="00A76CF9">
        <w:rPr>
          <w:sz w:val="24"/>
          <w:szCs w:val="24"/>
        </w:rPr>
        <w:t>sector</w:t>
      </w:r>
      <w:r w:rsidR="008A3B98">
        <w:rPr>
          <w:sz w:val="24"/>
          <w:szCs w:val="24"/>
        </w:rPr>
        <w:t xml:space="preserve"> and elsewhere in the organisation</w:t>
      </w:r>
      <w:r w:rsidR="002D5C62">
        <w:rPr>
          <w:sz w:val="24"/>
          <w:szCs w:val="24"/>
        </w:rPr>
        <w:t>.</w:t>
      </w:r>
      <w:r w:rsidR="00A76CF9">
        <w:rPr>
          <w:sz w:val="24"/>
          <w:szCs w:val="24"/>
        </w:rPr>
        <w:t xml:space="preserve"> I</w:t>
      </w:r>
      <w:r w:rsidRPr="00A76CF9" w:rsidR="00A76CF9">
        <w:rPr>
          <w:sz w:val="24"/>
          <w:szCs w:val="24"/>
        </w:rPr>
        <w:t xml:space="preserve">ndividual performance </w:t>
      </w:r>
      <w:r w:rsidR="00A76CF9">
        <w:rPr>
          <w:sz w:val="24"/>
          <w:szCs w:val="24"/>
        </w:rPr>
        <w:t>is not a factor</w:t>
      </w:r>
      <w:r w:rsidR="008A3B98">
        <w:rPr>
          <w:sz w:val="24"/>
          <w:szCs w:val="24"/>
        </w:rPr>
        <w:t xml:space="preserve"> in setting pay</w:t>
      </w:r>
      <w:r w:rsidR="00AF58E9">
        <w:rPr>
          <w:sz w:val="24"/>
          <w:szCs w:val="24"/>
        </w:rPr>
        <w:t xml:space="preserve">. The </w:t>
      </w:r>
      <w:r w:rsidR="00D47672">
        <w:rPr>
          <w:sz w:val="24"/>
          <w:szCs w:val="24"/>
        </w:rPr>
        <w:t xml:space="preserve">effectiveness </w:t>
      </w:r>
      <w:r w:rsidR="00AF58E9">
        <w:rPr>
          <w:sz w:val="24"/>
          <w:szCs w:val="24"/>
        </w:rPr>
        <w:t xml:space="preserve">of this approach is </w:t>
      </w:r>
      <w:r w:rsidR="00D47672">
        <w:rPr>
          <w:sz w:val="24"/>
          <w:szCs w:val="24"/>
        </w:rPr>
        <w:t xml:space="preserve">evidenced </w:t>
      </w:r>
      <w:r w:rsidR="00AF58E9">
        <w:rPr>
          <w:sz w:val="24"/>
          <w:szCs w:val="24"/>
        </w:rPr>
        <w:t xml:space="preserve">by a consistent mean gender pay gap </w:t>
      </w:r>
      <w:r w:rsidR="00D47672">
        <w:rPr>
          <w:sz w:val="24"/>
          <w:szCs w:val="24"/>
        </w:rPr>
        <w:t>over the last two years</w:t>
      </w:r>
      <w:r w:rsidR="00AF58E9">
        <w:rPr>
          <w:sz w:val="24"/>
          <w:szCs w:val="24"/>
        </w:rPr>
        <w:t xml:space="preserve"> </w:t>
      </w:r>
    </w:p>
    <w:p w:rsidR="00A76CF9" w:rsidP="00A76CF9" w:rsidRDefault="00A76CF9" w14:paraId="7B7FF7F1" w14:textId="0FEA0E3C">
      <w:pPr>
        <w:pStyle w:val="ListParagraph"/>
        <w:numPr>
          <w:ilvl w:val="0"/>
          <w:numId w:val="2"/>
        </w:numPr>
        <w:rPr>
          <w:sz w:val="24"/>
          <w:szCs w:val="24"/>
        </w:rPr>
      </w:pPr>
      <w:r>
        <w:rPr>
          <w:sz w:val="24"/>
          <w:szCs w:val="24"/>
        </w:rPr>
        <w:t>Crisis is a Living Wage employer, accredited by the Living Wage Foundation</w:t>
      </w:r>
      <w:r w:rsidR="00D47672">
        <w:rPr>
          <w:sz w:val="24"/>
          <w:szCs w:val="24"/>
        </w:rPr>
        <w:t>.</w:t>
      </w:r>
    </w:p>
    <w:p w:rsidR="003475C6" w:rsidRDefault="003475C6" w14:paraId="13A8A670" w14:textId="77777777">
      <w:pPr>
        <w:rPr>
          <w:b/>
          <w:i/>
          <w:sz w:val="24"/>
          <w:szCs w:val="24"/>
        </w:rPr>
      </w:pPr>
    </w:p>
    <w:p w:rsidRPr="00A75C86" w:rsidR="0021694D" w:rsidRDefault="0021694D" w14:paraId="7757D2E8" w14:textId="68AB6E05">
      <w:pPr>
        <w:rPr>
          <w:b/>
          <w:i/>
          <w:sz w:val="24"/>
          <w:szCs w:val="24"/>
        </w:rPr>
      </w:pPr>
      <w:r w:rsidRPr="00A75C86">
        <w:rPr>
          <w:b/>
          <w:i/>
          <w:sz w:val="24"/>
          <w:szCs w:val="24"/>
        </w:rPr>
        <w:t xml:space="preserve">Bonus </w:t>
      </w:r>
      <w:proofErr w:type="gramStart"/>
      <w:r w:rsidRPr="00A75C86">
        <w:rPr>
          <w:b/>
          <w:i/>
          <w:sz w:val="24"/>
          <w:szCs w:val="24"/>
        </w:rPr>
        <w:t>pay</w:t>
      </w:r>
      <w:proofErr w:type="gramEnd"/>
    </w:p>
    <w:p w:rsidRPr="00A75C86" w:rsidR="001D7D61" w:rsidP="0021694D" w:rsidRDefault="001D7D61" w14:paraId="7F42FFF2" w14:textId="77777777">
      <w:pPr>
        <w:pStyle w:val="ListParagraph"/>
        <w:numPr>
          <w:ilvl w:val="0"/>
          <w:numId w:val="1"/>
        </w:numPr>
        <w:rPr>
          <w:sz w:val="24"/>
          <w:szCs w:val="24"/>
        </w:rPr>
      </w:pPr>
      <w:r w:rsidRPr="00A75C86">
        <w:rPr>
          <w:sz w:val="24"/>
          <w:szCs w:val="24"/>
        </w:rPr>
        <w:t xml:space="preserve">Difference in mean bonus pay </w:t>
      </w:r>
      <w:r w:rsidRPr="00A75C86">
        <w:rPr>
          <w:sz w:val="24"/>
          <w:szCs w:val="24"/>
        </w:rPr>
        <w:tab/>
      </w:r>
      <w:r w:rsidRPr="00A75C86">
        <w:rPr>
          <w:sz w:val="24"/>
          <w:szCs w:val="24"/>
        </w:rPr>
        <w:tab/>
      </w:r>
      <w:r w:rsidRPr="00A75C86">
        <w:rPr>
          <w:sz w:val="24"/>
          <w:szCs w:val="24"/>
        </w:rPr>
        <w:tab/>
      </w:r>
      <w:r w:rsidRPr="00A75C86">
        <w:rPr>
          <w:sz w:val="24"/>
          <w:szCs w:val="24"/>
        </w:rPr>
        <w:t>0%</w:t>
      </w:r>
    </w:p>
    <w:p w:rsidRPr="00A75C86" w:rsidR="001D7D61" w:rsidP="0021694D" w:rsidRDefault="001D7D61" w14:paraId="4861D5E2" w14:textId="77777777">
      <w:pPr>
        <w:pStyle w:val="ListParagraph"/>
        <w:numPr>
          <w:ilvl w:val="0"/>
          <w:numId w:val="1"/>
        </w:numPr>
        <w:rPr>
          <w:sz w:val="24"/>
          <w:szCs w:val="24"/>
        </w:rPr>
      </w:pPr>
      <w:r w:rsidRPr="00A75C86">
        <w:rPr>
          <w:sz w:val="24"/>
          <w:szCs w:val="24"/>
        </w:rPr>
        <w:t xml:space="preserve">Difference in median bonus pay </w:t>
      </w:r>
      <w:r w:rsidRPr="00A75C86">
        <w:rPr>
          <w:sz w:val="24"/>
          <w:szCs w:val="24"/>
        </w:rPr>
        <w:tab/>
      </w:r>
      <w:r w:rsidRPr="00A75C86">
        <w:rPr>
          <w:sz w:val="24"/>
          <w:szCs w:val="24"/>
        </w:rPr>
        <w:tab/>
      </w:r>
      <w:r w:rsidRPr="00A75C86">
        <w:rPr>
          <w:sz w:val="24"/>
          <w:szCs w:val="24"/>
        </w:rPr>
        <w:tab/>
      </w:r>
      <w:r w:rsidRPr="00A75C86">
        <w:rPr>
          <w:sz w:val="24"/>
          <w:szCs w:val="24"/>
        </w:rPr>
        <w:t>0%</w:t>
      </w:r>
    </w:p>
    <w:p w:rsidRPr="00A75C86" w:rsidR="001D7D61" w:rsidP="0021694D" w:rsidRDefault="001D7D61" w14:paraId="6C571963" w14:textId="77777777">
      <w:pPr>
        <w:pStyle w:val="ListParagraph"/>
        <w:numPr>
          <w:ilvl w:val="0"/>
          <w:numId w:val="1"/>
        </w:numPr>
        <w:rPr>
          <w:sz w:val="24"/>
          <w:szCs w:val="24"/>
        </w:rPr>
      </w:pPr>
      <w:r w:rsidRPr="00A75C86">
        <w:rPr>
          <w:sz w:val="24"/>
          <w:szCs w:val="24"/>
        </w:rPr>
        <w:t>Percentage of employees w</w:t>
      </w:r>
      <w:r w:rsidRPr="00A75C86" w:rsidR="0021694D">
        <w:rPr>
          <w:sz w:val="24"/>
          <w:szCs w:val="24"/>
        </w:rPr>
        <w:t>h</w:t>
      </w:r>
      <w:r w:rsidRPr="00A75C86">
        <w:rPr>
          <w:sz w:val="24"/>
          <w:szCs w:val="24"/>
        </w:rPr>
        <w:t>o received bonus pay</w:t>
      </w:r>
      <w:r w:rsidRPr="00A75C86">
        <w:rPr>
          <w:sz w:val="24"/>
          <w:szCs w:val="24"/>
        </w:rPr>
        <w:tab/>
      </w:r>
      <w:r w:rsidRPr="00A75C86">
        <w:rPr>
          <w:sz w:val="24"/>
          <w:szCs w:val="24"/>
        </w:rPr>
        <w:t>0%</w:t>
      </w:r>
    </w:p>
    <w:p w:rsidRPr="00A75C86" w:rsidR="00A75C86" w:rsidRDefault="00A75C86" w14:paraId="6475E672" w14:textId="77777777">
      <w:pPr>
        <w:rPr>
          <w:i/>
          <w:sz w:val="24"/>
          <w:szCs w:val="24"/>
        </w:rPr>
      </w:pPr>
      <w:r w:rsidRPr="00A75C86">
        <w:rPr>
          <w:i/>
          <w:sz w:val="24"/>
          <w:szCs w:val="24"/>
        </w:rPr>
        <w:t>Commentary</w:t>
      </w:r>
    </w:p>
    <w:p w:rsidRPr="00A76CF9" w:rsidR="00A75C86" w:rsidP="00A76CF9" w:rsidRDefault="0021694D" w14:paraId="1A168A71" w14:textId="77777777">
      <w:pPr>
        <w:pStyle w:val="ListParagraph"/>
        <w:numPr>
          <w:ilvl w:val="0"/>
          <w:numId w:val="3"/>
        </w:numPr>
        <w:rPr>
          <w:sz w:val="24"/>
          <w:szCs w:val="24"/>
        </w:rPr>
      </w:pPr>
      <w:r w:rsidRPr="00A75C86">
        <w:rPr>
          <w:sz w:val="24"/>
          <w:szCs w:val="24"/>
        </w:rPr>
        <w:t>Crisis does n</w:t>
      </w:r>
      <w:r w:rsidR="00884E1F">
        <w:rPr>
          <w:sz w:val="24"/>
          <w:szCs w:val="24"/>
        </w:rPr>
        <w:t>ot pay bonuses to any employees</w:t>
      </w:r>
    </w:p>
    <w:p w:rsidRPr="003475C6" w:rsidR="003475C6" w:rsidP="00DC255E" w:rsidRDefault="003475C6" w14:paraId="21321E8B" w14:textId="7EC2BCD7">
      <w:pPr>
        <w:ind w:left="12240" w:firstLine="720"/>
        <w:rPr>
          <w:i/>
          <w:sz w:val="24"/>
          <w:szCs w:val="24"/>
        </w:rPr>
      </w:pPr>
      <w:proofErr w:type="spellStart"/>
      <w:r w:rsidRPr="003475C6">
        <w:rPr>
          <w:i/>
          <w:sz w:val="24"/>
          <w:szCs w:val="24"/>
        </w:rPr>
        <w:t>Cont</w:t>
      </w:r>
      <w:proofErr w:type="spellEnd"/>
      <w:r w:rsidRPr="003475C6">
        <w:rPr>
          <w:i/>
          <w:sz w:val="24"/>
          <w:szCs w:val="24"/>
        </w:rPr>
        <w:t>….</w:t>
      </w:r>
    </w:p>
    <w:p w:rsidR="003475C6" w:rsidRDefault="003475C6" w14:paraId="443EC941" w14:textId="77777777">
      <w:pPr>
        <w:rPr>
          <w:b/>
          <w:i/>
          <w:sz w:val="24"/>
          <w:szCs w:val="24"/>
        </w:rPr>
      </w:pPr>
    </w:p>
    <w:p w:rsidRPr="00A75C86" w:rsidR="0021694D" w:rsidRDefault="001D7D61" w14:paraId="74DDAEAA" w14:textId="77777777">
      <w:pPr>
        <w:rPr>
          <w:b/>
          <w:i/>
          <w:sz w:val="24"/>
          <w:szCs w:val="24"/>
        </w:rPr>
      </w:pPr>
      <w:r w:rsidRPr="00A75C86">
        <w:rPr>
          <w:b/>
          <w:i/>
          <w:sz w:val="24"/>
          <w:szCs w:val="24"/>
        </w:rPr>
        <w:t>Employees by pay quartile</w:t>
      </w:r>
    </w:p>
    <w:tbl>
      <w:tblPr>
        <w:tblStyle w:val="TableGridLight"/>
        <w:tblW w:w="13462" w:type="dxa"/>
        <w:tblLook w:val="04A0" w:firstRow="1" w:lastRow="0" w:firstColumn="1" w:lastColumn="0" w:noHBand="0" w:noVBand="1"/>
      </w:tblPr>
      <w:tblGrid>
        <w:gridCol w:w="2405"/>
        <w:gridCol w:w="1134"/>
        <w:gridCol w:w="1134"/>
        <w:gridCol w:w="8789"/>
      </w:tblGrid>
      <w:tr w:rsidRPr="00A75C86" w:rsidR="008A3B98" w:rsidTr="008A3B98" w14:paraId="4CA8C946" w14:textId="77777777">
        <w:tc>
          <w:tcPr>
            <w:tcW w:w="2405" w:type="dxa"/>
          </w:tcPr>
          <w:p w:rsidRPr="00A75C86" w:rsidR="008A3B98" w:rsidRDefault="008A3B98" w14:paraId="778299A1" w14:textId="77777777">
            <w:pPr>
              <w:rPr>
                <w:sz w:val="24"/>
                <w:szCs w:val="24"/>
              </w:rPr>
            </w:pPr>
          </w:p>
        </w:tc>
        <w:tc>
          <w:tcPr>
            <w:tcW w:w="1134" w:type="dxa"/>
          </w:tcPr>
          <w:p w:rsidRPr="008A3B98" w:rsidR="008A3B98" w:rsidRDefault="008A3B98" w14:paraId="684CA8A7" w14:textId="77777777">
            <w:pPr>
              <w:rPr>
                <w:i/>
                <w:sz w:val="24"/>
                <w:szCs w:val="24"/>
              </w:rPr>
            </w:pPr>
            <w:r w:rsidRPr="008A3B98">
              <w:rPr>
                <w:i/>
                <w:sz w:val="24"/>
                <w:szCs w:val="24"/>
              </w:rPr>
              <w:t>Male</w:t>
            </w:r>
          </w:p>
          <w:p w:rsidRPr="008A3B98" w:rsidR="008A3B98" w:rsidRDefault="008A3B98" w14:paraId="5FEEEF8C" w14:textId="77777777">
            <w:pPr>
              <w:rPr>
                <w:i/>
                <w:sz w:val="24"/>
                <w:szCs w:val="24"/>
              </w:rPr>
            </w:pPr>
          </w:p>
        </w:tc>
        <w:tc>
          <w:tcPr>
            <w:tcW w:w="1134" w:type="dxa"/>
          </w:tcPr>
          <w:p w:rsidRPr="008A3B98" w:rsidR="008A3B98" w:rsidRDefault="008A3B98" w14:paraId="6C68C8BD" w14:textId="77777777">
            <w:pPr>
              <w:rPr>
                <w:i/>
                <w:sz w:val="24"/>
                <w:szCs w:val="24"/>
              </w:rPr>
            </w:pPr>
            <w:r w:rsidRPr="008A3B98">
              <w:rPr>
                <w:i/>
                <w:sz w:val="24"/>
                <w:szCs w:val="24"/>
              </w:rPr>
              <w:t>Female</w:t>
            </w:r>
          </w:p>
        </w:tc>
        <w:tc>
          <w:tcPr>
            <w:tcW w:w="8789" w:type="dxa"/>
          </w:tcPr>
          <w:p w:rsidRPr="008A3B98" w:rsidR="008A3B98" w:rsidRDefault="008A3B98" w14:paraId="0AE9F6AC" w14:textId="77777777">
            <w:pPr>
              <w:rPr>
                <w:i/>
                <w:sz w:val="24"/>
                <w:szCs w:val="24"/>
              </w:rPr>
            </w:pPr>
            <w:r w:rsidRPr="008A3B98">
              <w:rPr>
                <w:i/>
                <w:sz w:val="24"/>
                <w:szCs w:val="24"/>
              </w:rPr>
              <w:t>Commentary</w:t>
            </w:r>
          </w:p>
        </w:tc>
      </w:tr>
      <w:tr w:rsidRPr="00A75C86" w:rsidR="008A3B98" w:rsidTr="008A3B98" w14:paraId="44BA7C0B" w14:textId="77777777">
        <w:tc>
          <w:tcPr>
            <w:tcW w:w="2405" w:type="dxa"/>
          </w:tcPr>
          <w:p w:rsidRPr="00A75C86" w:rsidR="008A3B98" w:rsidRDefault="008A3B98" w14:paraId="023E6364" w14:textId="77777777">
            <w:pPr>
              <w:rPr>
                <w:sz w:val="24"/>
                <w:szCs w:val="24"/>
              </w:rPr>
            </w:pPr>
            <w:r w:rsidRPr="00A75C86">
              <w:rPr>
                <w:sz w:val="24"/>
                <w:szCs w:val="24"/>
              </w:rPr>
              <w:t>Upper quartile</w:t>
            </w:r>
          </w:p>
          <w:p w:rsidRPr="00A75C86" w:rsidR="008A3B98" w:rsidRDefault="008A3B98" w14:paraId="2E77A874" w14:textId="77777777">
            <w:pPr>
              <w:rPr>
                <w:sz w:val="24"/>
                <w:szCs w:val="24"/>
              </w:rPr>
            </w:pPr>
          </w:p>
        </w:tc>
        <w:tc>
          <w:tcPr>
            <w:tcW w:w="1134" w:type="dxa"/>
          </w:tcPr>
          <w:p w:rsidRPr="00A75C86" w:rsidR="008A3B98" w:rsidRDefault="00846A5C" w14:paraId="3F863BAA" w14:textId="0ABD8ED5">
            <w:pPr>
              <w:rPr>
                <w:sz w:val="24"/>
                <w:szCs w:val="24"/>
              </w:rPr>
            </w:pPr>
            <w:r>
              <w:rPr>
                <w:sz w:val="24"/>
                <w:szCs w:val="24"/>
              </w:rPr>
              <w:t>3</w:t>
            </w:r>
            <w:r w:rsidR="00684591">
              <w:rPr>
                <w:sz w:val="24"/>
                <w:szCs w:val="24"/>
              </w:rPr>
              <w:t>3</w:t>
            </w:r>
            <w:r w:rsidRPr="00A75C86" w:rsidR="008A3B98">
              <w:rPr>
                <w:sz w:val="24"/>
                <w:szCs w:val="24"/>
              </w:rPr>
              <w:t>%</w:t>
            </w:r>
          </w:p>
        </w:tc>
        <w:tc>
          <w:tcPr>
            <w:tcW w:w="1134" w:type="dxa"/>
          </w:tcPr>
          <w:p w:rsidRPr="00A75C86" w:rsidR="008A3B98" w:rsidRDefault="00846A5C" w14:paraId="1BABCB37" w14:textId="0A077954">
            <w:pPr>
              <w:rPr>
                <w:sz w:val="24"/>
                <w:szCs w:val="24"/>
              </w:rPr>
            </w:pPr>
            <w:r>
              <w:rPr>
                <w:sz w:val="24"/>
                <w:szCs w:val="24"/>
              </w:rPr>
              <w:t>6</w:t>
            </w:r>
            <w:r w:rsidR="00684591">
              <w:rPr>
                <w:sz w:val="24"/>
                <w:szCs w:val="24"/>
              </w:rPr>
              <w:t>7</w:t>
            </w:r>
            <w:r w:rsidRPr="00A75C86" w:rsidR="008A3B98">
              <w:rPr>
                <w:sz w:val="24"/>
                <w:szCs w:val="24"/>
              </w:rPr>
              <w:t>%</w:t>
            </w:r>
          </w:p>
        </w:tc>
        <w:tc>
          <w:tcPr>
            <w:tcW w:w="8789" w:type="dxa"/>
          </w:tcPr>
          <w:p w:rsidR="008A3B98" w:rsidRDefault="008A3B98" w14:paraId="289FCA62" w14:textId="77777777">
            <w:pPr>
              <w:rPr>
                <w:sz w:val="24"/>
                <w:szCs w:val="24"/>
              </w:rPr>
            </w:pPr>
            <w:r>
              <w:rPr>
                <w:sz w:val="24"/>
                <w:szCs w:val="24"/>
              </w:rPr>
              <w:t>M</w:t>
            </w:r>
            <w:r w:rsidRPr="008A3B98">
              <w:rPr>
                <w:sz w:val="24"/>
                <w:szCs w:val="24"/>
              </w:rPr>
              <w:t xml:space="preserve">iddle </w:t>
            </w:r>
            <w:r w:rsidR="00884E1F">
              <w:rPr>
                <w:sz w:val="24"/>
                <w:szCs w:val="24"/>
              </w:rPr>
              <w:t xml:space="preserve">and senior </w:t>
            </w:r>
            <w:r w:rsidRPr="008A3B98">
              <w:rPr>
                <w:sz w:val="24"/>
                <w:szCs w:val="24"/>
              </w:rPr>
              <w:t xml:space="preserve">managers </w:t>
            </w:r>
            <w:r w:rsidR="00884E1F">
              <w:rPr>
                <w:sz w:val="24"/>
                <w:szCs w:val="24"/>
              </w:rPr>
              <w:t xml:space="preserve">across all functions </w:t>
            </w:r>
          </w:p>
          <w:p w:rsidR="00884E1F" w:rsidRDefault="00884E1F" w14:paraId="1523DD6F" w14:textId="77777777">
            <w:pPr>
              <w:rPr>
                <w:sz w:val="24"/>
                <w:szCs w:val="24"/>
              </w:rPr>
            </w:pPr>
          </w:p>
          <w:p w:rsidRPr="00A75C86" w:rsidR="00884E1F" w:rsidRDefault="00884E1F" w14:paraId="1BF297E9" w14:textId="77777777">
            <w:pPr>
              <w:rPr>
                <w:sz w:val="24"/>
                <w:szCs w:val="24"/>
              </w:rPr>
            </w:pPr>
          </w:p>
        </w:tc>
      </w:tr>
      <w:tr w:rsidRPr="00A75C86" w:rsidR="008A3B98" w:rsidTr="008A3B98" w14:paraId="7E8005F2" w14:textId="77777777">
        <w:tc>
          <w:tcPr>
            <w:tcW w:w="2405" w:type="dxa"/>
          </w:tcPr>
          <w:p w:rsidRPr="00A75C86" w:rsidR="008A3B98" w:rsidRDefault="008A3B98" w14:paraId="413586E4" w14:textId="77777777">
            <w:pPr>
              <w:rPr>
                <w:sz w:val="24"/>
                <w:szCs w:val="24"/>
              </w:rPr>
            </w:pPr>
            <w:r w:rsidRPr="00A75C86">
              <w:rPr>
                <w:sz w:val="24"/>
                <w:szCs w:val="24"/>
              </w:rPr>
              <w:t>Upper middle quartile</w:t>
            </w:r>
          </w:p>
        </w:tc>
        <w:tc>
          <w:tcPr>
            <w:tcW w:w="1134" w:type="dxa"/>
          </w:tcPr>
          <w:p w:rsidRPr="00A75C86" w:rsidR="008A3B98" w:rsidRDefault="00684591" w14:paraId="3D84AAF3" w14:textId="5BC62F8E">
            <w:pPr>
              <w:rPr>
                <w:sz w:val="24"/>
                <w:szCs w:val="24"/>
              </w:rPr>
            </w:pPr>
            <w:r>
              <w:rPr>
                <w:sz w:val="24"/>
                <w:szCs w:val="24"/>
              </w:rPr>
              <w:t>27</w:t>
            </w:r>
            <w:r w:rsidRPr="00A75C86" w:rsidR="008A3B98">
              <w:rPr>
                <w:sz w:val="24"/>
                <w:szCs w:val="24"/>
              </w:rPr>
              <w:t>%</w:t>
            </w:r>
          </w:p>
        </w:tc>
        <w:tc>
          <w:tcPr>
            <w:tcW w:w="1134" w:type="dxa"/>
          </w:tcPr>
          <w:p w:rsidRPr="00A75C86" w:rsidR="008A3B98" w:rsidRDefault="00C67E5E" w14:paraId="259F091E" w14:textId="5D1B4296">
            <w:pPr>
              <w:rPr>
                <w:sz w:val="24"/>
                <w:szCs w:val="24"/>
              </w:rPr>
            </w:pPr>
            <w:r>
              <w:rPr>
                <w:sz w:val="24"/>
                <w:szCs w:val="24"/>
              </w:rPr>
              <w:t>73</w:t>
            </w:r>
            <w:r w:rsidRPr="00A75C86" w:rsidR="008A3B98">
              <w:rPr>
                <w:sz w:val="24"/>
                <w:szCs w:val="24"/>
              </w:rPr>
              <w:t>%</w:t>
            </w:r>
          </w:p>
          <w:p w:rsidRPr="00A75C86" w:rsidR="008A3B98" w:rsidRDefault="008A3B98" w14:paraId="612D7965" w14:textId="77777777">
            <w:pPr>
              <w:rPr>
                <w:sz w:val="24"/>
                <w:szCs w:val="24"/>
              </w:rPr>
            </w:pPr>
          </w:p>
        </w:tc>
        <w:tc>
          <w:tcPr>
            <w:tcW w:w="8789" w:type="dxa"/>
          </w:tcPr>
          <w:p w:rsidR="008A3B98" w:rsidRDefault="008A3B98" w14:paraId="28970C0F" w14:textId="1895709F">
            <w:pPr>
              <w:rPr>
                <w:sz w:val="24"/>
                <w:szCs w:val="24"/>
              </w:rPr>
            </w:pPr>
            <w:r>
              <w:rPr>
                <w:sz w:val="24"/>
                <w:szCs w:val="24"/>
              </w:rPr>
              <w:t>I</w:t>
            </w:r>
            <w:r w:rsidRPr="008A3B98">
              <w:rPr>
                <w:sz w:val="24"/>
                <w:szCs w:val="24"/>
              </w:rPr>
              <w:t>ncludes London client facing staff</w:t>
            </w:r>
            <w:r w:rsidR="00A60024">
              <w:rPr>
                <w:sz w:val="24"/>
                <w:szCs w:val="24"/>
              </w:rPr>
              <w:t xml:space="preserve">. This quartile also includes </w:t>
            </w:r>
            <w:r w:rsidR="00D47672">
              <w:rPr>
                <w:sz w:val="24"/>
                <w:szCs w:val="24"/>
              </w:rPr>
              <w:t>s</w:t>
            </w:r>
            <w:r w:rsidR="00A60024">
              <w:rPr>
                <w:sz w:val="24"/>
                <w:szCs w:val="24"/>
              </w:rPr>
              <w:t xml:space="preserve">enior </w:t>
            </w:r>
            <w:r w:rsidR="00D47672">
              <w:rPr>
                <w:sz w:val="24"/>
                <w:szCs w:val="24"/>
              </w:rPr>
              <w:t>o</w:t>
            </w:r>
            <w:r w:rsidR="00A60024">
              <w:rPr>
                <w:sz w:val="24"/>
                <w:szCs w:val="24"/>
              </w:rPr>
              <w:t>fficers</w:t>
            </w:r>
            <w:r w:rsidR="00D47672">
              <w:rPr>
                <w:sz w:val="24"/>
                <w:szCs w:val="24"/>
              </w:rPr>
              <w:t xml:space="preserve"> </w:t>
            </w:r>
            <w:r w:rsidR="00A60024">
              <w:rPr>
                <w:sz w:val="24"/>
                <w:szCs w:val="24"/>
              </w:rPr>
              <w:t xml:space="preserve">in </w:t>
            </w:r>
            <w:r w:rsidR="00D47672">
              <w:rPr>
                <w:sz w:val="24"/>
                <w:szCs w:val="24"/>
              </w:rPr>
              <w:t xml:space="preserve">the </w:t>
            </w:r>
            <w:r w:rsidR="00A60024">
              <w:rPr>
                <w:sz w:val="24"/>
                <w:szCs w:val="24"/>
              </w:rPr>
              <w:t>Policy &amp; External Affairs</w:t>
            </w:r>
            <w:r w:rsidR="00AF70F8">
              <w:rPr>
                <w:sz w:val="24"/>
                <w:szCs w:val="24"/>
              </w:rPr>
              <w:t xml:space="preserve"> </w:t>
            </w:r>
            <w:r w:rsidR="0074203C">
              <w:rPr>
                <w:sz w:val="24"/>
                <w:szCs w:val="24"/>
              </w:rPr>
              <w:t>d</w:t>
            </w:r>
            <w:r w:rsidR="00A60024">
              <w:rPr>
                <w:sz w:val="24"/>
                <w:szCs w:val="24"/>
              </w:rPr>
              <w:t>irectorate</w:t>
            </w:r>
          </w:p>
          <w:p w:rsidR="00A60024" w:rsidRDefault="00A60024" w14:paraId="3FDD1247" w14:textId="77777777">
            <w:pPr>
              <w:rPr>
                <w:sz w:val="24"/>
                <w:szCs w:val="24"/>
              </w:rPr>
            </w:pPr>
          </w:p>
          <w:p w:rsidRPr="00A75C86" w:rsidR="00884E1F" w:rsidRDefault="00884E1F" w14:paraId="45B6524C" w14:textId="77777777">
            <w:pPr>
              <w:rPr>
                <w:sz w:val="24"/>
                <w:szCs w:val="24"/>
              </w:rPr>
            </w:pPr>
          </w:p>
        </w:tc>
      </w:tr>
      <w:tr w:rsidRPr="00A75C86" w:rsidR="008A3B98" w:rsidTr="008A3B98" w14:paraId="14D04A31" w14:textId="77777777">
        <w:tc>
          <w:tcPr>
            <w:tcW w:w="2405" w:type="dxa"/>
          </w:tcPr>
          <w:p w:rsidRPr="00A75C86" w:rsidR="008A3B98" w:rsidRDefault="008A3B98" w14:paraId="10711B0A" w14:textId="77777777">
            <w:pPr>
              <w:rPr>
                <w:sz w:val="24"/>
                <w:szCs w:val="24"/>
              </w:rPr>
            </w:pPr>
            <w:r w:rsidRPr="00A75C86">
              <w:rPr>
                <w:sz w:val="24"/>
                <w:szCs w:val="24"/>
              </w:rPr>
              <w:t>Lower middle quartile</w:t>
            </w:r>
          </w:p>
        </w:tc>
        <w:tc>
          <w:tcPr>
            <w:tcW w:w="1134" w:type="dxa"/>
          </w:tcPr>
          <w:p w:rsidRPr="00A75C86" w:rsidR="008A3B98" w:rsidRDefault="00846A5C" w14:paraId="5E270780" w14:textId="79D652D3">
            <w:pPr>
              <w:rPr>
                <w:sz w:val="24"/>
                <w:szCs w:val="24"/>
              </w:rPr>
            </w:pPr>
            <w:r>
              <w:rPr>
                <w:sz w:val="24"/>
                <w:szCs w:val="24"/>
              </w:rPr>
              <w:t>3</w:t>
            </w:r>
            <w:r w:rsidR="00C67E5E">
              <w:rPr>
                <w:sz w:val="24"/>
                <w:szCs w:val="24"/>
              </w:rPr>
              <w:t>5</w:t>
            </w:r>
            <w:r w:rsidRPr="00A75C86" w:rsidR="008A3B98">
              <w:rPr>
                <w:sz w:val="24"/>
                <w:szCs w:val="24"/>
              </w:rPr>
              <w:t>%</w:t>
            </w:r>
          </w:p>
        </w:tc>
        <w:tc>
          <w:tcPr>
            <w:tcW w:w="1134" w:type="dxa"/>
          </w:tcPr>
          <w:p w:rsidRPr="00A75C86" w:rsidR="008A3B98" w:rsidRDefault="008A3B98" w14:paraId="1A57B489" w14:textId="2E345CCB">
            <w:pPr>
              <w:rPr>
                <w:sz w:val="24"/>
                <w:szCs w:val="24"/>
              </w:rPr>
            </w:pPr>
            <w:r w:rsidRPr="00A75C86">
              <w:rPr>
                <w:sz w:val="24"/>
                <w:szCs w:val="24"/>
              </w:rPr>
              <w:t>6</w:t>
            </w:r>
            <w:r w:rsidR="00CA494B">
              <w:rPr>
                <w:sz w:val="24"/>
                <w:szCs w:val="24"/>
              </w:rPr>
              <w:t>5</w:t>
            </w:r>
            <w:r w:rsidRPr="00A75C86">
              <w:rPr>
                <w:sz w:val="24"/>
                <w:szCs w:val="24"/>
              </w:rPr>
              <w:t>%</w:t>
            </w:r>
          </w:p>
          <w:p w:rsidRPr="00A75C86" w:rsidR="008A3B98" w:rsidRDefault="008A3B98" w14:paraId="31B5A8FD" w14:textId="77777777">
            <w:pPr>
              <w:rPr>
                <w:sz w:val="24"/>
                <w:szCs w:val="24"/>
              </w:rPr>
            </w:pPr>
          </w:p>
        </w:tc>
        <w:tc>
          <w:tcPr>
            <w:tcW w:w="8789" w:type="dxa"/>
          </w:tcPr>
          <w:p w:rsidR="008A3B98" w:rsidRDefault="00884E1F" w14:paraId="2120B4C0" w14:textId="77777777">
            <w:pPr>
              <w:rPr>
                <w:sz w:val="24"/>
                <w:szCs w:val="24"/>
              </w:rPr>
            </w:pPr>
            <w:r>
              <w:rPr>
                <w:sz w:val="24"/>
                <w:szCs w:val="24"/>
              </w:rPr>
              <w:t>Primarily non-London</w:t>
            </w:r>
            <w:r w:rsidRPr="008A3B98" w:rsidR="008A3B98">
              <w:rPr>
                <w:sz w:val="24"/>
                <w:szCs w:val="24"/>
              </w:rPr>
              <w:t xml:space="preserve"> client facing staff</w:t>
            </w:r>
            <w:r>
              <w:rPr>
                <w:sz w:val="24"/>
                <w:szCs w:val="24"/>
              </w:rPr>
              <w:t xml:space="preserve"> and professional staff (below management level)</w:t>
            </w:r>
          </w:p>
          <w:p w:rsidRPr="00A75C86" w:rsidR="00884E1F" w:rsidRDefault="00884E1F" w14:paraId="7EC2DE1F" w14:textId="77777777">
            <w:pPr>
              <w:rPr>
                <w:sz w:val="24"/>
                <w:szCs w:val="24"/>
              </w:rPr>
            </w:pPr>
          </w:p>
        </w:tc>
      </w:tr>
      <w:tr w:rsidRPr="00A75C86" w:rsidR="008A3B98" w:rsidTr="008A3B98" w14:paraId="6209B98C" w14:textId="77777777">
        <w:tc>
          <w:tcPr>
            <w:tcW w:w="2405" w:type="dxa"/>
          </w:tcPr>
          <w:p w:rsidRPr="00A75C86" w:rsidR="008A3B98" w:rsidRDefault="008A3B98" w14:paraId="15BB0841" w14:textId="77777777">
            <w:pPr>
              <w:rPr>
                <w:sz w:val="24"/>
                <w:szCs w:val="24"/>
              </w:rPr>
            </w:pPr>
            <w:r w:rsidRPr="00A75C86">
              <w:rPr>
                <w:sz w:val="24"/>
                <w:szCs w:val="24"/>
              </w:rPr>
              <w:t>Lower quartile</w:t>
            </w:r>
          </w:p>
        </w:tc>
        <w:tc>
          <w:tcPr>
            <w:tcW w:w="1134" w:type="dxa"/>
          </w:tcPr>
          <w:p w:rsidRPr="00A75C86" w:rsidR="008A3B98" w:rsidRDefault="00846A5C" w14:paraId="43385FE8" w14:textId="29D8A034">
            <w:pPr>
              <w:rPr>
                <w:sz w:val="24"/>
                <w:szCs w:val="24"/>
              </w:rPr>
            </w:pPr>
            <w:r>
              <w:rPr>
                <w:sz w:val="24"/>
                <w:szCs w:val="24"/>
              </w:rPr>
              <w:t>4</w:t>
            </w:r>
            <w:r w:rsidR="00CA494B">
              <w:rPr>
                <w:sz w:val="24"/>
                <w:szCs w:val="24"/>
              </w:rPr>
              <w:t>4</w:t>
            </w:r>
            <w:r w:rsidRPr="00A75C86" w:rsidR="008A3B98">
              <w:rPr>
                <w:sz w:val="24"/>
                <w:szCs w:val="24"/>
              </w:rPr>
              <w:t>%</w:t>
            </w:r>
          </w:p>
        </w:tc>
        <w:tc>
          <w:tcPr>
            <w:tcW w:w="1134" w:type="dxa"/>
          </w:tcPr>
          <w:p w:rsidR="008A3B98" w:rsidRDefault="00CA494B" w14:paraId="64C42D42" w14:textId="7686B72A">
            <w:pPr>
              <w:rPr>
                <w:sz w:val="24"/>
                <w:szCs w:val="24"/>
              </w:rPr>
            </w:pPr>
            <w:r>
              <w:rPr>
                <w:sz w:val="24"/>
                <w:szCs w:val="24"/>
              </w:rPr>
              <w:t>56</w:t>
            </w:r>
            <w:r w:rsidR="008A3B98">
              <w:rPr>
                <w:sz w:val="24"/>
                <w:szCs w:val="24"/>
              </w:rPr>
              <w:t>%</w:t>
            </w:r>
          </w:p>
          <w:p w:rsidRPr="00A75C86" w:rsidR="008A3B98" w:rsidRDefault="008A3B98" w14:paraId="55091EFB" w14:textId="77777777">
            <w:pPr>
              <w:rPr>
                <w:sz w:val="24"/>
                <w:szCs w:val="24"/>
              </w:rPr>
            </w:pPr>
          </w:p>
        </w:tc>
        <w:tc>
          <w:tcPr>
            <w:tcW w:w="8789" w:type="dxa"/>
          </w:tcPr>
          <w:p w:rsidR="008A3B98" w:rsidRDefault="008A3B98" w14:paraId="59F67380" w14:textId="77777777">
            <w:pPr>
              <w:rPr>
                <w:sz w:val="24"/>
                <w:szCs w:val="24"/>
              </w:rPr>
            </w:pPr>
            <w:r>
              <w:rPr>
                <w:sz w:val="24"/>
                <w:szCs w:val="24"/>
              </w:rPr>
              <w:t>I</w:t>
            </w:r>
            <w:r w:rsidRPr="008A3B98">
              <w:rPr>
                <w:sz w:val="24"/>
                <w:szCs w:val="24"/>
              </w:rPr>
              <w:t>ncludes retail and café staff, administrators, trainees an</w:t>
            </w:r>
            <w:r>
              <w:rPr>
                <w:sz w:val="24"/>
                <w:szCs w:val="24"/>
              </w:rPr>
              <w:t>d some tutors in regional roles</w:t>
            </w:r>
          </w:p>
          <w:p w:rsidR="00884E1F" w:rsidRDefault="00884E1F" w14:paraId="5EB9DA0D" w14:textId="77777777">
            <w:pPr>
              <w:rPr>
                <w:sz w:val="24"/>
                <w:szCs w:val="24"/>
              </w:rPr>
            </w:pPr>
          </w:p>
          <w:p w:rsidR="00884E1F" w:rsidRDefault="00884E1F" w14:paraId="1AEF1BC9" w14:textId="77777777">
            <w:pPr>
              <w:rPr>
                <w:sz w:val="24"/>
                <w:szCs w:val="24"/>
              </w:rPr>
            </w:pPr>
          </w:p>
        </w:tc>
      </w:tr>
    </w:tbl>
    <w:p w:rsidR="00A76CF9" w:rsidP="008A3B98" w:rsidRDefault="00A76CF9" w14:paraId="2A200D4C" w14:textId="77777777">
      <w:pPr>
        <w:rPr>
          <w:sz w:val="24"/>
          <w:szCs w:val="24"/>
        </w:rPr>
      </w:pPr>
      <w:r w:rsidRPr="008A3B98">
        <w:rPr>
          <w:sz w:val="24"/>
          <w:szCs w:val="24"/>
        </w:rPr>
        <w:t xml:space="preserve"> </w:t>
      </w:r>
    </w:p>
    <w:p w:rsidR="008A3B98" w:rsidP="008A3B98" w:rsidRDefault="001058E1" w14:paraId="2AAAE37E" w14:textId="06C2C71E">
      <w:pPr>
        <w:rPr>
          <w:sz w:val="24"/>
          <w:szCs w:val="24"/>
        </w:rPr>
      </w:pPr>
      <w:r>
        <w:rPr>
          <w:sz w:val="24"/>
          <w:szCs w:val="24"/>
        </w:rPr>
        <w:t>Frances Stainer, Head of HR</w:t>
      </w:r>
    </w:p>
    <w:p w:rsidRPr="008A3B98" w:rsidR="008A3B98" w:rsidP="008A3B98" w:rsidRDefault="001058E1" w14:paraId="78E62C2A" w14:textId="10F070F3">
      <w:pPr>
        <w:rPr>
          <w:sz w:val="24"/>
          <w:szCs w:val="24"/>
        </w:rPr>
      </w:pPr>
      <w:r>
        <w:rPr>
          <w:sz w:val="24"/>
          <w:szCs w:val="24"/>
        </w:rPr>
        <w:t xml:space="preserve">March </w:t>
      </w:r>
      <w:r w:rsidR="00FE71B1">
        <w:rPr>
          <w:sz w:val="24"/>
          <w:szCs w:val="24"/>
        </w:rPr>
        <w:t>20</w:t>
      </w:r>
      <w:r w:rsidR="00E41EA0">
        <w:rPr>
          <w:sz w:val="24"/>
          <w:szCs w:val="24"/>
        </w:rPr>
        <w:t>20</w:t>
      </w:r>
    </w:p>
    <w:sectPr w:rsidRPr="008A3B98" w:rsidR="008A3B98" w:rsidSect="008A3B9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F42D3"/>
    <w:multiLevelType w:val="hybridMultilevel"/>
    <w:tmpl w:val="C92A0D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0207F4F"/>
    <w:multiLevelType w:val="hybridMultilevel"/>
    <w:tmpl w:val="4F165E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399124B"/>
    <w:multiLevelType w:val="hybridMultilevel"/>
    <w:tmpl w:val="9F4A40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D61"/>
    <w:rsid w:val="000118E9"/>
    <w:rsid w:val="00011952"/>
    <w:rsid w:val="000B1B62"/>
    <w:rsid w:val="000F137D"/>
    <w:rsid w:val="001058E1"/>
    <w:rsid w:val="001059EA"/>
    <w:rsid w:val="001063A1"/>
    <w:rsid w:val="00132C82"/>
    <w:rsid w:val="001956A2"/>
    <w:rsid w:val="001D4C1F"/>
    <w:rsid w:val="001D7D61"/>
    <w:rsid w:val="001E3188"/>
    <w:rsid w:val="0021694D"/>
    <w:rsid w:val="00283D28"/>
    <w:rsid w:val="00290B75"/>
    <w:rsid w:val="0029572B"/>
    <w:rsid w:val="002D31BC"/>
    <w:rsid w:val="002D5C62"/>
    <w:rsid w:val="002E2A0B"/>
    <w:rsid w:val="003475C6"/>
    <w:rsid w:val="00350E42"/>
    <w:rsid w:val="00355CD7"/>
    <w:rsid w:val="00374331"/>
    <w:rsid w:val="00392363"/>
    <w:rsid w:val="003D1794"/>
    <w:rsid w:val="00440866"/>
    <w:rsid w:val="00447C88"/>
    <w:rsid w:val="00453E3A"/>
    <w:rsid w:val="004637D4"/>
    <w:rsid w:val="004F38D2"/>
    <w:rsid w:val="005046E5"/>
    <w:rsid w:val="00516A77"/>
    <w:rsid w:val="00570F80"/>
    <w:rsid w:val="00595076"/>
    <w:rsid w:val="005D2179"/>
    <w:rsid w:val="005E3ACB"/>
    <w:rsid w:val="00684591"/>
    <w:rsid w:val="006875FD"/>
    <w:rsid w:val="006A0B0C"/>
    <w:rsid w:val="006A111F"/>
    <w:rsid w:val="006B4D4E"/>
    <w:rsid w:val="006E476A"/>
    <w:rsid w:val="006E6788"/>
    <w:rsid w:val="0074203C"/>
    <w:rsid w:val="007934B8"/>
    <w:rsid w:val="007953E7"/>
    <w:rsid w:val="008004E9"/>
    <w:rsid w:val="00823C16"/>
    <w:rsid w:val="0084198A"/>
    <w:rsid w:val="00846A5C"/>
    <w:rsid w:val="00860EEA"/>
    <w:rsid w:val="00884E1F"/>
    <w:rsid w:val="00894DE2"/>
    <w:rsid w:val="008A3B98"/>
    <w:rsid w:val="008C1A31"/>
    <w:rsid w:val="008F6203"/>
    <w:rsid w:val="00931641"/>
    <w:rsid w:val="00935046"/>
    <w:rsid w:val="009461C7"/>
    <w:rsid w:val="00970BC1"/>
    <w:rsid w:val="00992C50"/>
    <w:rsid w:val="009957BD"/>
    <w:rsid w:val="009A1803"/>
    <w:rsid w:val="009B2F09"/>
    <w:rsid w:val="009F6A8B"/>
    <w:rsid w:val="00A17817"/>
    <w:rsid w:val="00A60024"/>
    <w:rsid w:val="00A75C86"/>
    <w:rsid w:val="00A76CF9"/>
    <w:rsid w:val="00AD2FB3"/>
    <w:rsid w:val="00AF58E9"/>
    <w:rsid w:val="00AF70F8"/>
    <w:rsid w:val="00B04EE0"/>
    <w:rsid w:val="00B1616F"/>
    <w:rsid w:val="00B755A1"/>
    <w:rsid w:val="00C26E33"/>
    <w:rsid w:val="00C379A9"/>
    <w:rsid w:val="00C67E5E"/>
    <w:rsid w:val="00CA494B"/>
    <w:rsid w:val="00CE099F"/>
    <w:rsid w:val="00CF1DAE"/>
    <w:rsid w:val="00D11FFF"/>
    <w:rsid w:val="00D322F9"/>
    <w:rsid w:val="00D35863"/>
    <w:rsid w:val="00D47672"/>
    <w:rsid w:val="00D607F3"/>
    <w:rsid w:val="00DC255E"/>
    <w:rsid w:val="00DF14D4"/>
    <w:rsid w:val="00E41EA0"/>
    <w:rsid w:val="00E90C31"/>
    <w:rsid w:val="00EB25F0"/>
    <w:rsid w:val="00ED56CC"/>
    <w:rsid w:val="00EE2158"/>
    <w:rsid w:val="00EF1D37"/>
    <w:rsid w:val="00F3118F"/>
    <w:rsid w:val="00F849FD"/>
    <w:rsid w:val="00F84C6E"/>
    <w:rsid w:val="00FA1F67"/>
    <w:rsid w:val="00FB6376"/>
    <w:rsid w:val="00FC73D7"/>
    <w:rsid w:val="00FE71B1"/>
    <w:rsid w:val="00FF47B0"/>
    <w:rsid w:val="2C481853"/>
    <w:rsid w:val="3B7B4FE3"/>
    <w:rsid w:val="5EECD36E"/>
    <w:rsid w:val="606A4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16BA"/>
  <w15:chartTrackingRefBased/>
  <w15:docId w15:val="{F2E599C9-D64F-4021-9A18-93B4FC039F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1694D"/>
    <w:pPr>
      <w:ind w:left="720"/>
      <w:contextualSpacing/>
    </w:pPr>
  </w:style>
  <w:style w:type="table" w:styleId="TableGrid">
    <w:name w:val="Table Grid"/>
    <w:basedOn w:val="TableNormal"/>
    <w:uiPriority w:val="39"/>
    <w:rsid w:val="0021694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21694D"/>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CommentReference">
    <w:name w:val="annotation reference"/>
    <w:basedOn w:val="DefaultParagraphFont"/>
    <w:uiPriority w:val="99"/>
    <w:semiHidden/>
    <w:unhideWhenUsed/>
    <w:rsid w:val="00894DE2"/>
    <w:rPr>
      <w:sz w:val="16"/>
      <w:szCs w:val="16"/>
    </w:rPr>
  </w:style>
  <w:style w:type="paragraph" w:styleId="CommentText">
    <w:name w:val="annotation text"/>
    <w:basedOn w:val="Normal"/>
    <w:link w:val="CommentTextChar"/>
    <w:uiPriority w:val="99"/>
    <w:semiHidden/>
    <w:unhideWhenUsed/>
    <w:rsid w:val="00894DE2"/>
    <w:pPr>
      <w:spacing w:line="240" w:lineRule="auto"/>
    </w:pPr>
    <w:rPr>
      <w:sz w:val="20"/>
      <w:szCs w:val="20"/>
    </w:rPr>
  </w:style>
  <w:style w:type="character" w:styleId="CommentTextChar" w:customStyle="1">
    <w:name w:val="Comment Text Char"/>
    <w:basedOn w:val="DefaultParagraphFont"/>
    <w:link w:val="CommentText"/>
    <w:uiPriority w:val="99"/>
    <w:semiHidden/>
    <w:rsid w:val="00894DE2"/>
    <w:rPr>
      <w:sz w:val="20"/>
      <w:szCs w:val="20"/>
    </w:rPr>
  </w:style>
  <w:style w:type="paragraph" w:styleId="CommentSubject">
    <w:name w:val="annotation subject"/>
    <w:basedOn w:val="CommentText"/>
    <w:next w:val="CommentText"/>
    <w:link w:val="CommentSubjectChar"/>
    <w:uiPriority w:val="99"/>
    <w:semiHidden/>
    <w:unhideWhenUsed/>
    <w:rsid w:val="00894DE2"/>
    <w:rPr>
      <w:b/>
      <w:bCs/>
    </w:rPr>
  </w:style>
  <w:style w:type="character" w:styleId="CommentSubjectChar" w:customStyle="1">
    <w:name w:val="Comment Subject Char"/>
    <w:basedOn w:val="CommentTextChar"/>
    <w:link w:val="CommentSubject"/>
    <w:uiPriority w:val="99"/>
    <w:semiHidden/>
    <w:rsid w:val="00894DE2"/>
    <w:rPr>
      <w:b/>
      <w:bCs/>
      <w:sz w:val="20"/>
      <w:szCs w:val="20"/>
    </w:rPr>
  </w:style>
  <w:style w:type="paragraph" w:styleId="BalloonText">
    <w:name w:val="Balloon Text"/>
    <w:basedOn w:val="Normal"/>
    <w:link w:val="BalloonTextChar"/>
    <w:uiPriority w:val="99"/>
    <w:semiHidden/>
    <w:unhideWhenUsed/>
    <w:rsid w:val="00894DE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94DE2"/>
    <w:rPr>
      <w:rFonts w:ascii="Segoe UI" w:hAnsi="Segoe UI" w:cs="Segoe UI"/>
      <w:sz w:val="18"/>
      <w:szCs w:val="18"/>
    </w:rPr>
  </w:style>
  <w:style w:type="character" w:styleId="Hyperlink">
    <w:name w:val="Hyperlink"/>
    <w:basedOn w:val="DefaultParagraphFont"/>
    <w:uiPriority w:val="99"/>
    <w:unhideWhenUsed/>
    <w:rsid w:val="000118E9"/>
    <w:rPr>
      <w:color w:val="0563C1" w:themeColor="hyperlink"/>
      <w:u w:val="single"/>
    </w:rPr>
  </w:style>
  <w:style w:type="character" w:styleId="Mention1" w:customStyle="1">
    <w:name w:val="Mention1"/>
    <w:basedOn w:val="DefaultParagraphFont"/>
    <w:uiPriority w:val="99"/>
    <w:semiHidden/>
    <w:unhideWhenUsed/>
    <w:rsid w:val="000118E9"/>
    <w:rPr>
      <w:color w:val="2B579A"/>
      <w:shd w:val="clear" w:color="auto" w:fill="E6E6E6"/>
    </w:rPr>
  </w:style>
  <w:style w:type="character" w:styleId="FollowedHyperlink">
    <w:name w:val="FollowedHyperlink"/>
    <w:basedOn w:val="DefaultParagraphFont"/>
    <w:uiPriority w:val="99"/>
    <w:semiHidden/>
    <w:unhideWhenUsed/>
    <w:rsid w:val="00EF1D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hyperlink" Target="https://www.ons.gov.uk/employmentandlabourmarket/peopleinwork/earningsandworkinghours/bulletins/genderpaygapintheuk/2018" TargetMode="External" Id="rId11" /><Relationship Type="http://schemas.openxmlformats.org/officeDocument/2006/relationships/customXml" Target="../customXml/item5.xml" Id="rId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anagement Document" ma:contentTypeID="0x01010083B6874506B48F4EA8BEAFE9498302900069670D20F19FCF4CB0587857B7C2214800713CBAF371E7DB40AAEED093B289DD95" ma:contentTypeVersion="10" ma:contentTypeDescription="Any document used for managing the HR Team. " ma:contentTypeScope="" ma:versionID="af2df5e4053f2feb52f4fb1d04030d68">
  <xsd:schema xmlns:xsd="http://www.w3.org/2001/XMLSchema" xmlns:xs="http://www.w3.org/2001/XMLSchema" xmlns:p="http://schemas.microsoft.com/office/2006/metadata/properties" xmlns:ns2="4962a674-d2c0-4423-af6f-36eae4b71c17" xmlns:ns3="f2087264-4b9c-41fd-90b6-e586e363c237" xmlns:ns4="d7f926cb-f266-4050-a789-a872e8e75b87" targetNamespace="http://schemas.microsoft.com/office/2006/metadata/properties" ma:root="true" ma:fieldsID="f9013a85f371676dd7621424cbe8aafb" ns2:_="" ns3:_="" ns4:_="">
    <xsd:import namespace="4962a674-d2c0-4423-af6f-36eae4b71c17"/>
    <xsd:import namespace="f2087264-4b9c-41fd-90b6-e586e363c237"/>
    <xsd:import namespace="d7f926cb-f266-4050-a789-a872e8e75b87"/>
    <xsd:element name="properties">
      <xsd:complexType>
        <xsd:sequence>
          <xsd:element name="documentManagement">
            <xsd:complexType>
              <xsd:all>
                <xsd:element ref="ns2:ibaeb117a2e443b4a79451f1774477b0" minOccurs="0"/>
                <xsd:element ref="ns2:TaxCatchAll" minOccurs="0"/>
                <xsd:element ref="ns2:TaxCatchAllLabel" minOccurs="0"/>
                <xsd:element ref="ns3:d5c1d4658ee14338b8510e1cb43a998f"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2a674-d2c0-4423-af6f-36eae4b71c17" elementFormDefault="qualified">
    <xsd:import namespace="http://schemas.microsoft.com/office/2006/documentManagement/types"/>
    <xsd:import namespace="http://schemas.microsoft.com/office/infopath/2007/PartnerControls"/>
    <xsd:element name="ibaeb117a2e443b4a79451f1774477b0" ma:index="8" nillable="true" ma:taxonomy="true" ma:internalName="ibaeb117a2e443b4a79451f1774477b0" ma:taxonomyFieldName="Office_x0020_Location" ma:displayName="Office Location" ma:readOnly="false" ma:default="" ma:fieldId="{2baeb117-a2e4-43b4-a794-51f1774477b0}" ma:sspId="a860cccc-d6c3-4f13-a929-dff30c4eb155" ma:termSetId="1c217d42-12c5-4de0-b74f-f5c5e06ea13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7c7c5af-ebce-4ea8-afae-249981b0491b}" ma:internalName="TaxCatchAll" ma:showField="CatchAllData" ma:web="f2087264-4b9c-41fd-90b6-e586e363c23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7c7c5af-ebce-4ea8-afae-249981b0491b}" ma:internalName="TaxCatchAllLabel" ma:readOnly="true" ma:showField="CatchAllDataLabel" ma:web="f2087264-4b9c-41fd-90b6-e586e363c2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087264-4b9c-41fd-90b6-e586e363c237" elementFormDefault="qualified">
    <xsd:import namespace="http://schemas.microsoft.com/office/2006/documentManagement/types"/>
    <xsd:import namespace="http://schemas.microsoft.com/office/infopath/2007/PartnerControls"/>
    <xsd:element name="d5c1d4658ee14338b8510e1cb43a998f" ma:index="12" ma:taxonomy="true" ma:internalName="d5c1d4658ee14338b8510e1cb43a998f" ma:taxonomyFieldName="HR_x0020_Area" ma:displayName="HR Area" ma:indexed="true" ma:readOnly="false" ma:default="" ma:fieldId="{d5c1d465-8ee1-4338-b851-0e1cb43a998f}" ma:sspId="a860cccc-d6c3-4f13-a929-dff30c4eb155" ma:termSetId="2f823517-0b16-465b-8b6d-faac0e52648f" ma:anchorId="00000000-0000-0000-0000-000000000000" ma:open="true" ma:isKeyword="false">
      <xsd:complexType>
        <xsd:sequence>
          <xsd:element ref="pc:Terms" minOccurs="0" maxOccurs="1"/>
        </xsd:sequence>
      </xsd:complex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926cb-f266-4050-a789-a872e8e75b87"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https://crisisuk.sharepoint.com/sites/contentTypeHub/_cts/Crisis Document/885e71ddb621dff4customXsn.xsn</xsnLocation>
  <cached>True</cached>
  <openByDefault>False</openByDefault>
  <xsnScope>https://crisisuk.sharepoint.com/sites/contentTypeHub</xsnScope>
</customXsn>
</file>

<file path=customXml/item4.xml><?xml version="1.0" encoding="utf-8"?>
<p:properties xmlns:p="http://schemas.microsoft.com/office/2006/metadata/properties" xmlns:xsi="http://www.w3.org/2001/XMLSchema-instance" xmlns:pc="http://schemas.microsoft.com/office/infopath/2007/PartnerControls">
  <documentManagement>
    <ibaeb117a2e443b4a79451f1774477b0 xmlns="4962a674-d2c0-4423-af6f-36eae4b71c17">
      <Terms xmlns="http://schemas.microsoft.com/office/infopath/2007/PartnerControls"/>
    </ibaeb117a2e443b4a79451f1774477b0>
    <d5c1d4658ee14338b8510e1cb43a998f xmlns="f2087264-4b9c-41fd-90b6-e586e363c237">
      <Terms xmlns="http://schemas.microsoft.com/office/infopath/2007/PartnerControls">
        <TermInfo xmlns="http://schemas.microsoft.com/office/infopath/2007/PartnerControls">
          <TermName xmlns="http://schemas.microsoft.com/office/infopath/2007/PartnerControls">Employment Law</TermName>
          <TermId xmlns="http://schemas.microsoft.com/office/infopath/2007/PartnerControls">52620c86-77bc-4c04-a880-61b5a2bea96d</TermId>
        </TermInfo>
      </Terms>
    </d5c1d4658ee14338b8510e1cb43a998f>
    <TaxCatchAll xmlns="4962a674-d2c0-4423-af6f-36eae4b71c17">
      <Value>237</Value>
    </TaxCatchAll>
  </documentManagement>
</p:properties>
</file>

<file path=customXml/item5.xml><?xml version="1.0" encoding="utf-8"?>
<?mso-contentType ?>
<SharedContentType xmlns="Microsoft.SharePoint.Taxonomy.ContentTypeSync" SourceId="a860cccc-d6c3-4f13-a929-dff30c4eb155" ContentTypeId="0x01010083B6874506B48F4EA8BEAFE949830290"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BD1EB-7CFB-4B6A-B605-FA8209AF5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2a674-d2c0-4423-af6f-36eae4b71c17"/>
    <ds:schemaRef ds:uri="f2087264-4b9c-41fd-90b6-e586e363c237"/>
    <ds:schemaRef ds:uri="d7f926cb-f266-4050-a789-a872e8e75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223291-D968-4911-8C0D-E0C24DC5B322}">
  <ds:schemaRefs>
    <ds:schemaRef ds:uri="http://schemas.microsoft.com/sharepoint/v3/contenttype/forms"/>
  </ds:schemaRefs>
</ds:datastoreItem>
</file>

<file path=customXml/itemProps3.xml><?xml version="1.0" encoding="utf-8"?>
<ds:datastoreItem xmlns:ds="http://schemas.openxmlformats.org/officeDocument/2006/customXml" ds:itemID="{69DDF5AC-3B90-496C-8408-38A07351EB01}">
  <ds:schemaRefs>
    <ds:schemaRef ds:uri="http://schemas.microsoft.com/office/2006/metadata/customXsn"/>
  </ds:schemaRefs>
</ds:datastoreItem>
</file>

<file path=customXml/itemProps4.xml><?xml version="1.0" encoding="utf-8"?>
<ds:datastoreItem xmlns:ds="http://schemas.openxmlformats.org/officeDocument/2006/customXml" ds:itemID="{37FC07BF-5EC7-4A3A-BA2E-6FFADA74B7DE}">
  <ds:schemaRefs>
    <ds:schemaRef ds:uri="http://schemas.microsoft.com/office/2006/metadata/properties"/>
    <ds:schemaRef ds:uri="http://schemas.microsoft.com/office/infopath/2007/PartnerControls"/>
    <ds:schemaRef ds:uri="4962a674-d2c0-4423-af6f-36eae4b71c17"/>
    <ds:schemaRef ds:uri="f2087264-4b9c-41fd-90b6-e586e363c237"/>
  </ds:schemaRefs>
</ds:datastoreItem>
</file>

<file path=customXml/itemProps5.xml><?xml version="1.0" encoding="utf-8"?>
<ds:datastoreItem xmlns:ds="http://schemas.openxmlformats.org/officeDocument/2006/customXml" ds:itemID="{710FEEE6-5465-427B-87E3-6737AEA52A1E}">
  <ds:schemaRefs>
    <ds:schemaRef ds:uri="Microsoft.SharePoint.Taxonomy.ContentTypeSync"/>
  </ds:schemaRefs>
</ds:datastoreItem>
</file>

<file path=customXml/itemProps6.xml><?xml version="1.0" encoding="utf-8"?>
<ds:datastoreItem xmlns:ds="http://schemas.openxmlformats.org/officeDocument/2006/customXml" ds:itemID="{50D722F8-D8B2-4C3E-8C13-98A2B00083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 Gender Pay Report for April 2019 - final website publication</dc:title>
  <dc:subject/>
  <dc:creator>Frances Stainer</dc:creator>
  <cp:keywords/>
  <dc:description/>
  <cp:lastModifiedBy>Frances Stainer</cp:lastModifiedBy>
  <cp:revision>37</cp:revision>
  <dcterms:created xsi:type="dcterms:W3CDTF">2020-01-24T23:21:00Z</dcterms:created>
  <dcterms:modified xsi:type="dcterms:W3CDTF">2020-03-25T15:43:42Z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0x01010083B6874506B48F4EA8BEAFE9498302900069670D20F19FCF4CB0587857B7C2214800713CBAF371E7DB40AAEED093B289DD95</vt:lpwstr>
  </property>
  <property fmtid="{D5CDD505-2E9C-101B-9397-08002B2CF9AE}" pid="3" name="HR Area">
    <vt:lpwstr>237;#Employment Law|52620c86-77bc-4c04-a880-61b5a2bea96d</vt:lpwstr>
  </property>
  <property fmtid="{D5CDD505-2E9C-101B-9397-08002B2CF9AE}" pid="4" name="Office Location">
    <vt:lpwstr/>
  </property>
  <property fmtid="{D5CDD505-2E9C-101B-9397-08002B2CF9AE}" pid="5" name="AuthorIds_UIVersion_1536">
    <vt:lpwstr>883</vt:lpwstr>
  </property>
  <property fmtid="{D5CDD505-2E9C-101B-9397-08002B2CF9AE}" pid="6" name="AuthorIds_UIVersion_2048">
    <vt:lpwstr>883</vt:lpwstr>
  </property>
  <property fmtid="{D5CDD505-2E9C-101B-9397-08002B2CF9AE}" pid="7" name="AuthorIds_UIVersion_2560">
    <vt:lpwstr>19</vt:lpwstr>
  </property>
  <property fmtid="{D5CDD505-2E9C-101B-9397-08002B2CF9AE}" pid="8" name="AuthorIds_UIVersion_3072">
    <vt:lpwstr>19</vt:lpwstr>
  </property>
  <property fmtid="{D5CDD505-2E9C-101B-9397-08002B2CF9AE}" pid="9" name="AuthorIds_UIVersion_3584">
    <vt:lpwstr>19</vt:lpwstr>
  </property>
  <property fmtid="{D5CDD505-2E9C-101B-9397-08002B2CF9AE}" pid="10" name="AuthorIds_UIVersion_4096">
    <vt:lpwstr>19</vt:lpwstr>
  </property>
  <property fmtid="{D5CDD505-2E9C-101B-9397-08002B2CF9AE}" pid="11" name="AuthorIds_UIVersion_4608">
    <vt:lpwstr>19</vt:lpwstr>
  </property>
  <property fmtid="{D5CDD505-2E9C-101B-9397-08002B2CF9AE}" pid="12" name="AuthorIds_UIVersion_6144">
    <vt:lpwstr>19</vt:lpwstr>
  </property>
</Properties>
</file>